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DE" w:rsidP="00F40ADE" w:rsidRDefault="00F40ADE" w14:paraId="1443472A" w14:textId="77777777">
      <w:pPr>
        <w:pStyle w:val="Default"/>
      </w:pPr>
      <w:bookmarkStart w:name="_GoBack" w:id="0"/>
      <w:bookmarkEnd w:id="0"/>
    </w:p>
    <w:p w:rsidR="00517B2B" w:rsidP="00F40ADE" w:rsidRDefault="00517B2B" w14:paraId="740DDB1D" w14:textId="77777777">
      <w:pPr>
        <w:pStyle w:val="Default"/>
        <w:rPr>
          <w:sz w:val="40"/>
        </w:rPr>
      </w:pPr>
    </w:p>
    <w:p w:rsidR="00517B2B" w:rsidP="00F40ADE" w:rsidRDefault="00517B2B" w14:paraId="529BE4F7" w14:textId="77777777">
      <w:pPr>
        <w:pStyle w:val="Default"/>
        <w:rPr>
          <w:sz w:val="40"/>
        </w:rPr>
      </w:pPr>
    </w:p>
    <w:p w:rsidR="00517B2B" w:rsidP="00F40ADE" w:rsidRDefault="00FF5F60" w14:paraId="41ABB444" w14:textId="77777777">
      <w:pPr>
        <w:pStyle w:val="Default"/>
        <w:rPr>
          <w:sz w:val="40"/>
        </w:rPr>
      </w:pPr>
      <w:r>
        <w:rPr>
          <w:sz w:val="40"/>
        </w:rPr>
        <w:t>Welsh Government</w:t>
      </w:r>
    </w:p>
    <w:p w:rsidRPr="00F40ADE" w:rsidR="00F40ADE" w:rsidP="00F40ADE" w:rsidRDefault="00F40ADE" w14:paraId="732F7B0D" w14:textId="77777777">
      <w:pPr>
        <w:pStyle w:val="Default"/>
        <w:rPr>
          <w:sz w:val="40"/>
        </w:rPr>
      </w:pPr>
      <w:r w:rsidRPr="00F40ADE">
        <w:rPr>
          <w:sz w:val="40"/>
        </w:rPr>
        <w:t>Economic Resilience Fund</w:t>
      </w:r>
      <w:r w:rsidR="00FF5F60">
        <w:rPr>
          <w:sz w:val="40"/>
        </w:rPr>
        <w:t xml:space="preserve"> (ERF)</w:t>
      </w:r>
    </w:p>
    <w:p w:rsidR="00FF5F60" w:rsidP="00F40ADE" w:rsidRDefault="00FF5F60" w14:paraId="7F90A691" w14:textId="77777777">
      <w:pPr>
        <w:pStyle w:val="Default"/>
        <w:rPr>
          <w:sz w:val="40"/>
        </w:rPr>
      </w:pPr>
    </w:p>
    <w:p w:rsidR="00FF5F60" w:rsidP="00F40ADE" w:rsidRDefault="00FF5F60" w14:paraId="6B530AD3" w14:textId="77777777">
      <w:pPr>
        <w:pStyle w:val="Default"/>
        <w:rPr>
          <w:sz w:val="40"/>
        </w:rPr>
      </w:pPr>
    </w:p>
    <w:p w:rsidR="00FF5F60" w:rsidP="00F40ADE" w:rsidRDefault="00FF5F60" w14:paraId="6BD32E1F" w14:textId="0704030F">
      <w:pPr>
        <w:pStyle w:val="Default"/>
        <w:rPr>
          <w:sz w:val="40"/>
        </w:rPr>
      </w:pPr>
      <w:r>
        <w:rPr>
          <w:sz w:val="40"/>
        </w:rPr>
        <w:t>Restrictions Business Fund</w:t>
      </w:r>
    </w:p>
    <w:p w:rsidR="00F40ADE" w:rsidP="00F40ADE" w:rsidRDefault="00067D6A" w14:paraId="1F9D43A4" w14:textId="060CC0A6">
      <w:pPr>
        <w:pStyle w:val="Default"/>
        <w:rPr>
          <w:sz w:val="40"/>
        </w:rPr>
      </w:pPr>
      <w:r>
        <w:rPr>
          <w:sz w:val="40"/>
        </w:rPr>
        <w:t xml:space="preserve">Non-Domestic Rates </w:t>
      </w:r>
      <w:r w:rsidR="003954A2">
        <w:rPr>
          <w:sz w:val="40"/>
        </w:rPr>
        <w:t xml:space="preserve">(NDR) Linked Grants - March 2021 </w:t>
      </w:r>
    </w:p>
    <w:p w:rsidRPr="00F40ADE" w:rsidR="00574D95" w:rsidP="00F40ADE" w:rsidRDefault="00574D95" w14:paraId="324757AE" w14:textId="77777777">
      <w:pPr>
        <w:pStyle w:val="Default"/>
        <w:rPr>
          <w:sz w:val="40"/>
        </w:rPr>
      </w:pPr>
    </w:p>
    <w:p w:rsidR="00F40ADE" w:rsidP="00F40ADE" w:rsidRDefault="00F40ADE" w14:paraId="6F389F1A" w14:textId="77777777">
      <w:pPr>
        <w:pStyle w:val="Default"/>
      </w:pPr>
    </w:p>
    <w:p w:rsidR="00F40ADE" w:rsidP="00F40ADE" w:rsidRDefault="00F40ADE" w14:paraId="6A3C8EF2" w14:textId="77777777">
      <w:pPr>
        <w:pStyle w:val="Default"/>
      </w:pPr>
    </w:p>
    <w:p w:rsidR="00FF5F60" w:rsidP="00F40ADE" w:rsidRDefault="00FF5F60" w14:paraId="3044C656" w14:textId="77777777">
      <w:pPr>
        <w:pStyle w:val="Default"/>
      </w:pPr>
    </w:p>
    <w:p w:rsidR="00FF5F60" w:rsidP="00F40ADE" w:rsidRDefault="00FF5F60" w14:paraId="5979A4B6" w14:textId="77777777">
      <w:pPr>
        <w:pStyle w:val="Default"/>
      </w:pPr>
    </w:p>
    <w:p w:rsidR="00FF5F60" w:rsidP="00F40ADE" w:rsidRDefault="00FF5F60" w14:paraId="2AB0C14C" w14:textId="77777777">
      <w:pPr>
        <w:pStyle w:val="Default"/>
      </w:pPr>
    </w:p>
    <w:p w:rsidR="00FF5F60" w:rsidP="00F40ADE" w:rsidRDefault="00FF5F60" w14:paraId="59F438A8" w14:textId="77777777">
      <w:pPr>
        <w:pStyle w:val="Default"/>
      </w:pPr>
    </w:p>
    <w:p w:rsidR="00F40ADE" w:rsidP="00F40ADE" w:rsidRDefault="00F40ADE" w14:paraId="092E59C7" w14:textId="77777777">
      <w:pPr>
        <w:pStyle w:val="Default"/>
        <w:rPr>
          <w:sz w:val="28"/>
        </w:rPr>
      </w:pPr>
    </w:p>
    <w:p w:rsidR="00517B2B" w:rsidRDefault="00517B2B" w14:paraId="03BB002C" w14:textId="77777777">
      <w:pPr>
        <w:rPr>
          <w:rFonts w:ascii="Arial" w:hAnsi="Arial" w:cs="Arial"/>
          <w:b/>
          <w:bCs/>
          <w:sz w:val="36"/>
          <w:szCs w:val="36"/>
        </w:rPr>
      </w:pPr>
      <w:r>
        <w:rPr>
          <w:b/>
          <w:bCs/>
          <w:sz w:val="36"/>
          <w:szCs w:val="36"/>
        </w:rPr>
        <w:br w:type="page"/>
      </w:r>
    </w:p>
    <w:p w:rsidRPr="00C52F21" w:rsidR="00C52F21" w:rsidP="00C52F21" w:rsidRDefault="00C52F21" w14:paraId="5E6EFFD7" w14:textId="77777777">
      <w:pPr>
        <w:pStyle w:val="Default"/>
        <w:rPr>
          <w:b/>
          <w:bCs/>
          <w:color w:val="auto"/>
          <w:sz w:val="36"/>
          <w:szCs w:val="36"/>
        </w:rPr>
      </w:pPr>
      <w:r w:rsidRPr="00C52F21">
        <w:rPr>
          <w:b/>
          <w:bCs/>
          <w:color w:val="auto"/>
          <w:sz w:val="36"/>
          <w:szCs w:val="36"/>
        </w:rPr>
        <w:lastRenderedPageBreak/>
        <w:t>The NDR linked grant schem</w:t>
      </w:r>
      <w:r>
        <w:rPr>
          <w:b/>
          <w:bCs/>
          <w:color w:val="auto"/>
          <w:sz w:val="36"/>
          <w:szCs w:val="36"/>
        </w:rPr>
        <w:t>e</w:t>
      </w:r>
      <w:r w:rsidRPr="00C52F21">
        <w:rPr>
          <w:b/>
          <w:bCs/>
          <w:color w:val="auto"/>
          <w:sz w:val="36"/>
          <w:szCs w:val="36"/>
        </w:rPr>
        <w:t>s</w:t>
      </w:r>
    </w:p>
    <w:p w:rsidR="00C52F21" w:rsidP="00C52F21" w:rsidRDefault="00C52F21" w14:paraId="6359C919" w14:textId="77777777">
      <w:pPr>
        <w:pStyle w:val="Default"/>
        <w:rPr>
          <w:color w:val="auto"/>
          <w:sz w:val="23"/>
          <w:szCs w:val="23"/>
        </w:rPr>
      </w:pPr>
    </w:p>
    <w:p w:rsidRPr="0043266A" w:rsidR="0043266A" w:rsidP="0043266A" w:rsidRDefault="00C52F21" w14:paraId="0684B6CD" w14:textId="7C53636D">
      <w:pPr>
        <w:pStyle w:val="Default"/>
        <w:numPr>
          <w:ilvl w:val="0"/>
          <w:numId w:val="1"/>
        </w:numPr>
        <w:rPr>
          <w:color w:val="auto"/>
          <w:sz w:val="23"/>
          <w:szCs w:val="23"/>
        </w:rPr>
      </w:pPr>
      <w:r>
        <w:rPr>
          <w:color w:val="auto"/>
          <w:sz w:val="23"/>
          <w:szCs w:val="23"/>
        </w:rPr>
        <w:t>T</w:t>
      </w:r>
      <w:r w:rsidR="008D6F71">
        <w:rPr>
          <w:color w:val="auto"/>
          <w:sz w:val="23"/>
          <w:szCs w:val="23"/>
        </w:rPr>
        <w:t>wo</w:t>
      </w:r>
      <w:r>
        <w:rPr>
          <w:color w:val="auto"/>
          <w:sz w:val="23"/>
          <w:szCs w:val="23"/>
        </w:rPr>
        <w:t xml:space="preserve"> </w:t>
      </w:r>
      <w:r w:rsidR="00D573E3">
        <w:rPr>
          <w:color w:val="auto"/>
          <w:sz w:val="23"/>
          <w:szCs w:val="23"/>
        </w:rPr>
        <w:t xml:space="preserve">new </w:t>
      </w:r>
      <w:r>
        <w:rPr>
          <w:color w:val="auto"/>
          <w:sz w:val="23"/>
          <w:szCs w:val="23"/>
        </w:rPr>
        <w:t xml:space="preserve">NDR </w:t>
      </w:r>
      <w:r w:rsidR="00517B2B">
        <w:rPr>
          <w:color w:val="auto"/>
          <w:sz w:val="23"/>
          <w:szCs w:val="23"/>
        </w:rPr>
        <w:t xml:space="preserve">linked </w:t>
      </w:r>
      <w:r>
        <w:rPr>
          <w:color w:val="auto"/>
          <w:sz w:val="23"/>
          <w:szCs w:val="23"/>
        </w:rPr>
        <w:t xml:space="preserve">grant schemes </w:t>
      </w:r>
      <w:r w:rsidR="008D6F71">
        <w:rPr>
          <w:color w:val="auto"/>
          <w:sz w:val="23"/>
          <w:szCs w:val="23"/>
        </w:rPr>
        <w:t xml:space="preserve">are </w:t>
      </w:r>
      <w:r>
        <w:rPr>
          <w:color w:val="auto"/>
          <w:sz w:val="23"/>
          <w:szCs w:val="23"/>
        </w:rPr>
        <w:t xml:space="preserve">being introduced by the Welsh Ministers </w:t>
      </w:r>
      <w:r w:rsidR="006A6A41">
        <w:rPr>
          <w:color w:val="auto"/>
          <w:sz w:val="23"/>
          <w:szCs w:val="23"/>
        </w:rPr>
        <w:t>in March</w:t>
      </w:r>
      <w:r w:rsidR="00517B2B">
        <w:rPr>
          <w:color w:val="auto"/>
          <w:sz w:val="23"/>
          <w:szCs w:val="23"/>
        </w:rPr>
        <w:t xml:space="preserve"> 2021</w:t>
      </w:r>
      <w:r w:rsidR="008D6F71">
        <w:rPr>
          <w:color w:val="auto"/>
          <w:sz w:val="23"/>
          <w:szCs w:val="23"/>
        </w:rPr>
        <w:t>. They</w:t>
      </w:r>
      <w:r w:rsidR="00517B2B">
        <w:rPr>
          <w:color w:val="auto"/>
          <w:sz w:val="23"/>
          <w:szCs w:val="23"/>
        </w:rPr>
        <w:t xml:space="preserve"> </w:t>
      </w:r>
      <w:r w:rsidR="0043266A">
        <w:rPr>
          <w:color w:val="auto"/>
          <w:sz w:val="23"/>
          <w:szCs w:val="23"/>
        </w:rPr>
        <w:t>are as follows.</w:t>
      </w:r>
    </w:p>
    <w:p w:rsidR="00C52F21" w:rsidP="00C52F21" w:rsidRDefault="00C52F21" w14:paraId="2C658D79" w14:textId="77777777">
      <w:pPr>
        <w:pStyle w:val="Default"/>
        <w:rPr>
          <w:color w:val="auto"/>
          <w:sz w:val="23"/>
          <w:szCs w:val="23"/>
        </w:rPr>
      </w:pPr>
    </w:p>
    <w:p w:rsidRPr="002F4303" w:rsidR="002D3156" w:rsidP="00EE3BD1" w:rsidRDefault="00EE3BD1" w14:paraId="4EF11ADF" w14:textId="77777777">
      <w:pPr>
        <w:pStyle w:val="Default"/>
        <w:ind w:left="720"/>
        <w:rPr>
          <w:b/>
          <w:color w:val="auto"/>
          <w:sz w:val="23"/>
          <w:szCs w:val="23"/>
        </w:rPr>
      </w:pPr>
      <w:r w:rsidRPr="00EE3BD1">
        <w:rPr>
          <w:b/>
          <w:color w:val="auto"/>
          <w:sz w:val="23"/>
          <w:szCs w:val="23"/>
        </w:rPr>
        <w:t>i)</w:t>
      </w:r>
      <w:r>
        <w:rPr>
          <w:b/>
          <w:color w:val="auto"/>
          <w:sz w:val="23"/>
          <w:szCs w:val="23"/>
        </w:rPr>
        <w:t xml:space="preserve"> </w:t>
      </w:r>
      <w:r w:rsidRPr="002F4303" w:rsidR="002D3156">
        <w:rPr>
          <w:b/>
          <w:color w:val="auto"/>
          <w:sz w:val="23"/>
          <w:szCs w:val="23"/>
        </w:rPr>
        <w:t>Grant A:</w:t>
      </w:r>
    </w:p>
    <w:p w:rsidR="008D6F71" w:rsidP="002F4303" w:rsidRDefault="00C52F21" w14:paraId="6B897104" w14:textId="7060A625">
      <w:pPr>
        <w:spacing w:after="0" w:line="240" w:lineRule="auto"/>
        <w:ind w:left="720"/>
        <w:jc w:val="both"/>
        <w:rPr>
          <w:rFonts w:ascii="Arial" w:hAnsi="Arial" w:cs="Arial"/>
          <w:sz w:val="24"/>
          <w:szCs w:val="24"/>
        </w:rPr>
      </w:pPr>
      <w:r w:rsidRPr="00AE1F94">
        <w:rPr>
          <w:rFonts w:ascii="Arial" w:hAnsi="Arial" w:cs="Arial"/>
          <w:sz w:val="24"/>
          <w:szCs w:val="24"/>
        </w:rPr>
        <w:t>A</w:t>
      </w:r>
      <w:r>
        <w:rPr>
          <w:rFonts w:ascii="Arial" w:hAnsi="Arial" w:cs="Arial"/>
          <w:b/>
          <w:sz w:val="24"/>
          <w:szCs w:val="24"/>
        </w:rPr>
        <w:t xml:space="preserve"> </w:t>
      </w:r>
      <w:r w:rsidRPr="00C52F21">
        <w:rPr>
          <w:rFonts w:ascii="Arial" w:hAnsi="Arial" w:cs="Arial"/>
          <w:b/>
          <w:sz w:val="24"/>
          <w:szCs w:val="24"/>
        </w:rPr>
        <w:t>£</w:t>
      </w:r>
      <w:r w:rsidR="006A6A41">
        <w:rPr>
          <w:rFonts w:ascii="Arial" w:hAnsi="Arial" w:cs="Arial"/>
          <w:b/>
          <w:sz w:val="24"/>
          <w:szCs w:val="24"/>
        </w:rPr>
        <w:t>4</w:t>
      </w:r>
      <w:r w:rsidRPr="00C52F21">
        <w:rPr>
          <w:rFonts w:ascii="Arial" w:hAnsi="Arial" w:cs="Arial"/>
          <w:b/>
          <w:sz w:val="24"/>
          <w:szCs w:val="24"/>
        </w:rPr>
        <w:t xml:space="preserve">,000 </w:t>
      </w:r>
      <w:r w:rsidRPr="00AE1F94">
        <w:rPr>
          <w:rFonts w:ascii="Arial" w:hAnsi="Arial" w:cs="Arial"/>
          <w:sz w:val="24"/>
          <w:szCs w:val="24"/>
        </w:rPr>
        <w:t xml:space="preserve">cash grant </w:t>
      </w:r>
      <w:r w:rsidRPr="00C52F21">
        <w:rPr>
          <w:rFonts w:ascii="Arial" w:hAnsi="Arial" w:cs="Arial"/>
          <w:sz w:val="24"/>
          <w:szCs w:val="24"/>
        </w:rPr>
        <w:t xml:space="preserve">payment for </w:t>
      </w:r>
      <w:r w:rsidR="002D3156">
        <w:rPr>
          <w:rFonts w:ascii="Arial" w:hAnsi="Arial" w:cs="Arial"/>
          <w:sz w:val="24"/>
          <w:szCs w:val="24"/>
        </w:rPr>
        <w:t>hospitality</w:t>
      </w:r>
      <w:r w:rsidR="008D6F71">
        <w:rPr>
          <w:rFonts w:ascii="Arial" w:hAnsi="Arial" w:cs="Arial"/>
          <w:sz w:val="24"/>
          <w:szCs w:val="24"/>
        </w:rPr>
        <w:t>, tourism and related supply chain</w:t>
      </w:r>
      <w:r w:rsidR="002D3156">
        <w:rPr>
          <w:rFonts w:ascii="Arial" w:hAnsi="Arial" w:cs="Arial"/>
          <w:sz w:val="24"/>
          <w:szCs w:val="24"/>
        </w:rPr>
        <w:t xml:space="preserve"> </w:t>
      </w:r>
      <w:r w:rsidR="00AE1F94">
        <w:rPr>
          <w:rFonts w:ascii="Arial" w:hAnsi="Arial" w:cs="Arial"/>
          <w:sz w:val="24"/>
          <w:szCs w:val="24"/>
        </w:rPr>
        <w:t xml:space="preserve">businesses </w:t>
      </w:r>
      <w:r w:rsidR="001A7A8B">
        <w:rPr>
          <w:rFonts w:ascii="Arial" w:hAnsi="Arial" w:cs="Arial"/>
          <w:sz w:val="24"/>
          <w:szCs w:val="24"/>
        </w:rPr>
        <w:t xml:space="preserve">including some retail businesses </w:t>
      </w:r>
      <w:r w:rsidR="00AE1F94">
        <w:rPr>
          <w:rFonts w:ascii="Arial" w:hAnsi="Arial" w:cs="Arial"/>
          <w:sz w:val="24"/>
          <w:szCs w:val="24"/>
        </w:rPr>
        <w:t xml:space="preserve">with </w:t>
      </w:r>
      <w:r w:rsidRPr="00C52F21">
        <w:rPr>
          <w:rFonts w:ascii="Arial" w:hAnsi="Arial" w:cs="Arial"/>
          <w:sz w:val="24"/>
          <w:szCs w:val="24"/>
        </w:rPr>
        <w:t xml:space="preserve">Small Business Rate Relief (SBRR) </w:t>
      </w:r>
      <w:r w:rsidR="00AE1F94">
        <w:rPr>
          <w:rFonts w:ascii="Arial" w:hAnsi="Arial" w:cs="Arial"/>
          <w:sz w:val="24"/>
          <w:szCs w:val="24"/>
        </w:rPr>
        <w:t>qualifying hereditaments</w:t>
      </w:r>
      <w:r w:rsidR="00291967">
        <w:rPr>
          <w:rFonts w:ascii="Arial" w:hAnsi="Arial" w:cs="Arial"/>
          <w:sz w:val="24"/>
          <w:szCs w:val="24"/>
        </w:rPr>
        <w:t xml:space="preserve"> with a rateable value of £12,000 or less</w:t>
      </w:r>
      <w:r w:rsidR="00AE1F94">
        <w:rPr>
          <w:rFonts w:ascii="Arial" w:hAnsi="Arial" w:cs="Arial"/>
          <w:sz w:val="24"/>
          <w:szCs w:val="24"/>
        </w:rPr>
        <w:t xml:space="preserve">. </w:t>
      </w:r>
    </w:p>
    <w:p w:rsidR="008D6F71" w:rsidP="002F4303" w:rsidRDefault="008D6F71" w14:paraId="4B11097E" w14:textId="77777777">
      <w:pPr>
        <w:spacing w:after="0" w:line="240" w:lineRule="auto"/>
        <w:ind w:left="720"/>
        <w:jc w:val="both"/>
        <w:rPr>
          <w:rFonts w:ascii="Arial" w:hAnsi="Arial" w:cs="Arial"/>
          <w:sz w:val="24"/>
          <w:szCs w:val="24"/>
        </w:rPr>
      </w:pPr>
    </w:p>
    <w:p w:rsidR="008D6F71" w:rsidP="002F4303" w:rsidRDefault="008D6F71" w14:paraId="284FA894" w14:textId="2EA64B27">
      <w:pPr>
        <w:spacing w:after="0" w:line="240" w:lineRule="auto"/>
        <w:ind w:left="720"/>
        <w:jc w:val="both"/>
        <w:rPr>
          <w:rFonts w:ascii="Arial" w:hAnsi="Arial" w:cs="Arial"/>
          <w:sz w:val="24"/>
          <w:szCs w:val="24"/>
        </w:rPr>
      </w:pPr>
      <w:r>
        <w:rPr>
          <w:rFonts w:ascii="Arial" w:hAnsi="Arial" w:cs="Arial"/>
          <w:sz w:val="24"/>
          <w:szCs w:val="24"/>
        </w:rPr>
        <w:t>ii) Grant B:</w:t>
      </w:r>
    </w:p>
    <w:p w:rsidR="008D6F71" w:rsidP="002F4303" w:rsidRDefault="008D6F71" w14:paraId="3C9DE6E3" w14:textId="44D8750A">
      <w:pPr>
        <w:spacing w:after="0" w:line="240" w:lineRule="auto"/>
        <w:ind w:left="720"/>
        <w:jc w:val="both"/>
        <w:rPr>
          <w:rFonts w:ascii="Arial" w:hAnsi="Arial" w:cs="Arial"/>
          <w:sz w:val="24"/>
          <w:szCs w:val="24"/>
        </w:rPr>
      </w:pPr>
      <w:r>
        <w:rPr>
          <w:rFonts w:ascii="Arial" w:hAnsi="Arial" w:cs="Arial"/>
          <w:sz w:val="24"/>
          <w:szCs w:val="24"/>
        </w:rPr>
        <w:t xml:space="preserve">A </w:t>
      </w:r>
      <w:r w:rsidRPr="008D6F71">
        <w:rPr>
          <w:rFonts w:ascii="Arial" w:hAnsi="Arial" w:cs="Arial"/>
          <w:b/>
          <w:sz w:val="24"/>
          <w:szCs w:val="24"/>
        </w:rPr>
        <w:t>£5,000</w:t>
      </w:r>
      <w:r>
        <w:rPr>
          <w:rFonts w:ascii="Arial" w:hAnsi="Arial" w:cs="Arial"/>
          <w:sz w:val="24"/>
          <w:szCs w:val="24"/>
        </w:rPr>
        <w:t xml:space="preserve"> cash grant </w:t>
      </w:r>
      <w:r w:rsidR="001A7A8B">
        <w:rPr>
          <w:rFonts w:ascii="Arial" w:hAnsi="Arial" w:cs="Arial"/>
          <w:sz w:val="24"/>
          <w:szCs w:val="24"/>
        </w:rPr>
        <w:t xml:space="preserve">payment </w:t>
      </w:r>
      <w:r w:rsidRPr="00C52F21">
        <w:rPr>
          <w:rFonts w:ascii="Arial" w:hAnsi="Arial" w:cs="Arial"/>
          <w:sz w:val="24"/>
          <w:szCs w:val="24"/>
        </w:rPr>
        <w:t xml:space="preserve">for </w:t>
      </w:r>
      <w:r>
        <w:rPr>
          <w:rFonts w:ascii="Arial" w:hAnsi="Arial" w:cs="Arial"/>
          <w:sz w:val="24"/>
          <w:szCs w:val="24"/>
        </w:rPr>
        <w:t xml:space="preserve">hospitality, tourism and related supply chain </w:t>
      </w:r>
      <w:r w:rsidRPr="00C52F21">
        <w:rPr>
          <w:rFonts w:ascii="Arial" w:hAnsi="Arial" w:cs="Arial"/>
          <w:sz w:val="24"/>
          <w:szCs w:val="24"/>
        </w:rPr>
        <w:t xml:space="preserve">businesses </w:t>
      </w:r>
      <w:r w:rsidR="001A7A8B">
        <w:rPr>
          <w:rFonts w:ascii="Arial" w:hAnsi="Arial" w:cs="Arial"/>
          <w:sz w:val="24"/>
          <w:szCs w:val="24"/>
        </w:rPr>
        <w:t xml:space="preserve">including some retail businesses </w:t>
      </w:r>
      <w:r>
        <w:rPr>
          <w:rFonts w:ascii="Arial" w:hAnsi="Arial" w:cs="Arial"/>
          <w:sz w:val="24"/>
          <w:szCs w:val="24"/>
        </w:rPr>
        <w:t xml:space="preserve">occupying hereditaments with </w:t>
      </w:r>
      <w:r w:rsidRPr="00C52F21">
        <w:rPr>
          <w:rFonts w:ascii="Arial" w:hAnsi="Arial" w:cs="Arial"/>
          <w:sz w:val="24"/>
          <w:szCs w:val="24"/>
        </w:rPr>
        <w:t>a rateable value between £12,001 and £</w:t>
      </w:r>
      <w:r>
        <w:rPr>
          <w:rFonts w:ascii="Arial" w:hAnsi="Arial" w:cs="Arial"/>
          <w:sz w:val="24"/>
          <w:szCs w:val="24"/>
        </w:rPr>
        <w:t>500,000</w:t>
      </w:r>
      <w:r w:rsidRPr="00C52F21">
        <w:rPr>
          <w:rFonts w:ascii="Arial" w:hAnsi="Arial" w:cs="Arial"/>
          <w:sz w:val="24"/>
          <w:szCs w:val="24"/>
        </w:rPr>
        <w:t>.</w:t>
      </w:r>
    </w:p>
    <w:p w:rsidR="008D6F71" w:rsidP="002F4303" w:rsidRDefault="008D6F71" w14:paraId="480A369A" w14:textId="77777777">
      <w:pPr>
        <w:spacing w:after="0" w:line="240" w:lineRule="auto"/>
        <w:ind w:left="720"/>
        <w:jc w:val="both"/>
        <w:rPr>
          <w:rFonts w:ascii="Arial" w:hAnsi="Arial" w:cs="Arial"/>
          <w:sz w:val="24"/>
          <w:szCs w:val="24"/>
        </w:rPr>
      </w:pPr>
    </w:p>
    <w:p w:rsidRPr="008D6F71" w:rsidR="00AD334C" w:rsidP="008D6F71" w:rsidRDefault="002D3156" w14:paraId="12A0B488" w14:textId="4B108FCA">
      <w:pPr>
        <w:pStyle w:val="Default"/>
        <w:numPr>
          <w:ilvl w:val="0"/>
          <w:numId w:val="1"/>
        </w:numPr>
        <w:rPr>
          <w:color w:val="auto"/>
          <w:sz w:val="23"/>
          <w:szCs w:val="23"/>
        </w:rPr>
      </w:pPr>
      <w:r w:rsidRPr="008D6F71">
        <w:rPr>
          <w:color w:val="auto"/>
          <w:sz w:val="23"/>
          <w:szCs w:val="23"/>
        </w:rPr>
        <w:t xml:space="preserve">Local authorities </w:t>
      </w:r>
      <w:r w:rsidRPr="008D6F71" w:rsidR="006035D6">
        <w:rPr>
          <w:color w:val="auto"/>
          <w:sz w:val="23"/>
          <w:szCs w:val="23"/>
        </w:rPr>
        <w:t>should</w:t>
      </w:r>
      <w:r w:rsidRPr="008D6F71">
        <w:rPr>
          <w:color w:val="auto"/>
          <w:sz w:val="23"/>
          <w:szCs w:val="23"/>
        </w:rPr>
        <w:t xml:space="preserve"> process </w:t>
      </w:r>
      <w:r w:rsidRPr="008D6F71" w:rsidR="008D6F71">
        <w:rPr>
          <w:color w:val="auto"/>
          <w:sz w:val="23"/>
          <w:szCs w:val="23"/>
        </w:rPr>
        <w:t>both</w:t>
      </w:r>
      <w:r w:rsidRPr="008D6F71">
        <w:rPr>
          <w:color w:val="auto"/>
          <w:sz w:val="23"/>
          <w:szCs w:val="23"/>
        </w:rPr>
        <w:t xml:space="preserve"> grant</w:t>
      </w:r>
      <w:r w:rsidRPr="008D6F71" w:rsidR="008D6F71">
        <w:rPr>
          <w:color w:val="auto"/>
          <w:sz w:val="23"/>
          <w:szCs w:val="23"/>
        </w:rPr>
        <w:t>s</w:t>
      </w:r>
      <w:r w:rsidRPr="008D6F71">
        <w:rPr>
          <w:color w:val="auto"/>
          <w:sz w:val="23"/>
          <w:szCs w:val="23"/>
        </w:rPr>
        <w:t xml:space="preserve"> for businesses that received a</w:t>
      </w:r>
      <w:r w:rsidRPr="008D6F71" w:rsidR="008D6F71">
        <w:rPr>
          <w:color w:val="auto"/>
          <w:sz w:val="23"/>
          <w:szCs w:val="23"/>
        </w:rPr>
        <w:t>n NDR linked</w:t>
      </w:r>
      <w:r w:rsidRPr="008D6F71">
        <w:rPr>
          <w:color w:val="auto"/>
          <w:sz w:val="23"/>
          <w:szCs w:val="23"/>
        </w:rPr>
        <w:t xml:space="preserve"> grant via the </w:t>
      </w:r>
      <w:r w:rsidRPr="008D6F71" w:rsidR="00E163EC">
        <w:rPr>
          <w:color w:val="auto"/>
          <w:sz w:val="23"/>
          <w:szCs w:val="23"/>
        </w:rPr>
        <w:t>schemes launched in December</w:t>
      </w:r>
      <w:r w:rsidRPr="008D6F71">
        <w:rPr>
          <w:color w:val="auto"/>
          <w:sz w:val="23"/>
          <w:szCs w:val="23"/>
        </w:rPr>
        <w:t xml:space="preserve"> </w:t>
      </w:r>
      <w:r w:rsidRPr="008D6F71" w:rsidR="00E163EC">
        <w:rPr>
          <w:color w:val="auto"/>
          <w:sz w:val="23"/>
          <w:szCs w:val="23"/>
        </w:rPr>
        <w:t xml:space="preserve">2020 </w:t>
      </w:r>
      <w:r w:rsidRPr="008D6F71">
        <w:rPr>
          <w:color w:val="auto"/>
          <w:sz w:val="23"/>
          <w:szCs w:val="23"/>
        </w:rPr>
        <w:t>without need for any further application process</w:t>
      </w:r>
      <w:r w:rsidRPr="008D6F71" w:rsidR="002F4303">
        <w:rPr>
          <w:color w:val="auto"/>
          <w:sz w:val="23"/>
          <w:szCs w:val="23"/>
        </w:rPr>
        <w:t>es</w:t>
      </w:r>
      <w:r w:rsidRPr="008D6F71">
        <w:rPr>
          <w:color w:val="auto"/>
          <w:sz w:val="23"/>
          <w:szCs w:val="23"/>
        </w:rPr>
        <w:t xml:space="preserve"> to be introduced</w:t>
      </w:r>
      <w:r w:rsidRPr="008D6F71" w:rsidR="008D6F71">
        <w:rPr>
          <w:color w:val="auto"/>
          <w:sz w:val="23"/>
          <w:szCs w:val="23"/>
        </w:rPr>
        <w:t>.</w:t>
      </w:r>
      <w:r w:rsidRPr="008D6F71">
        <w:rPr>
          <w:color w:val="auto"/>
          <w:sz w:val="23"/>
          <w:szCs w:val="23"/>
        </w:rPr>
        <w:t xml:space="preserve"> </w:t>
      </w:r>
    </w:p>
    <w:p w:rsidR="008D6F71" w:rsidP="002F4303" w:rsidRDefault="008D6F71" w14:paraId="55690615" w14:textId="3721D9DA">
      <w:pPr>
        <w:spacing w:after="0" w:line="240" w:lineRule="auto"/>
        <w:ind w:left="720"/>
        <w:jc w:val="both"/>
        <w:rPr>
          <w:rFonts w:ascii="Arial" w:hAnsi="Arial" w:cs="Arial"/>
          <w:sz w:val="24"/>
          <w:szCs w:val="24"/>
        </w:rPr>
      </w:pPr>
    </w:p>
    <w:p w:rsidRPr="008D6F71" w:rsidR="008D6F71" w:rsidP="008D6F71" w:rsidRDefault="008D6F71" w14:paraId="41926974" w14:textId="4EF9D6A2">
      <w:pPr>
        <w:pStyle w:val="Default"/>
        <w:numPr>
          <w:ilvl w:val="0"/>
          <w:numId w:val="1"/>
        </w:numPr>
        <w:jc w:val="both"/>
      </w:pPr>
      <w:r w:rsidRPr="008D6F71">
        <w:rPr>
          <w:color w:val="auto"/>
          <w:sz w:val="23"/>
          <w:szCs w:val="23"/>
        </w:rPr>
        <w:t>For qualifying businesses that have not previously applied</w:t>
      </w:r>
      <w:r w:rsidR="00D573E3">
        <w:rPr>
          <w:color w:val="auto"/>
          <w:sz w:val="23"/>
          <w:szCs w:val="23"/>
        </w:rPr>
        <w:t xml:space="preserve"> for</w:t>
      </w:r>
      <w:r w:rsidRPr="008D6F71">
        <w:rPr>
          <w:color w:val="auto"/>
          <w:sz w:val="23"/>
          <w:szCs w:val="23"/>
        </w:rPr>
        <w:t xml:space="preserve"> </w:t>
      </w:r>
      <w:r>
        <w:rPr>
          <w:color w:val="auto"/>
          <w:sz w:val="23"/>
          <w:szCs w:val="23"/>
        </w:rPr>
        <w:t>or</w:t>
      </w:r>
      <w:r w:rsidRPr="008D6F71">
        <w:rPr>
          <w:color w:val="auto"/>
          <w:sz w:val="23"/>
          <w:szCs w:val="23"/>
        </w:rPr>
        <w:t xml:space="preserve"> been awarded a grant, a registration form should be made available. Local authorities should </w:t>
      </w:r>
      <w:r w:rsidRPr="00D05853">
        <w:rPr>
          <w:b/>
          <w:color w:val="auto"/>
          <w:sz w:val="23"/>
          <w:szCs w:val="23"/>
        </w:rPr>
        <w:t>open the registration process for these businesses on Monday 15</w:t>
      </w:r>
      <w:r w:rsidRPr="00D05853">
        <w:rPr>
          <w:b/>
          <w:color w:val="auto"/>
          <w:sz w:val="23"/>
          <w:szCs w:val="23"/>
          <w:vertAlign w:val="superscript"/>
        </w:rPr>
        <w:t>th</w:t>
      </w:r>
      <w:r w:rsidRPr="00D05853">
        <w:rPr>
          <w:b/>
          <w:color w:val="auto"/>
          <w:sz w:val="23"/>
          <w:szCs w:val="23"/>
        </w:rPr>
        <w:t xml:space="preserve"> March 2021 and close it at 5pm </w:t>
      </w:r>
      <w:r w:rsidRPr="00D05853" w:rsidR="00D05853">
        <w:rPr>
          <w:b/>
          <w:color w:val="auto"/>
          <w:sz w:val="23"/>
          <w:szCs w:val="23"/>
        </w:rPr>
        <w:t>on Wednesday</w:t>
      </w:r>
      <w:r w:rsidRPr="00D05853">
        <w:rPr>
          <w:b/>
          <w:color w:val="auto"/>
          <w:sz w:val="23"/>
          <w:szCs w:val="23"/>
        </w:rPr>
        <w:t xml:space="preserve"> </w:t>
      </w:r>
      <w:r w:rsidRPr="00D05853" w:rsidR="00D05853">
        <w:rPr>
          <w:b/>
          <w:color w:val="auto"/>
          <w:sz w:val="23"/>
          <w:szCs w:val="23"/>
        </w:rPr>
        <w:t>31</w:t>
      </w:r>
      <w:r w:rsidRPr="00D05853" w:rsidR="00D05853">
        <w:rPr>
          <w:b/>
          <w:color w:val="auto"/>
          <w:sz w:val="23"/>
          <w:szCs w:val="23"/>
          <w:vertAlign w:val="superscript"/>
        </w:rPr>
        <w:t>st</w:t>
      </w:r>
      <w:r w:rsidRPr="00D05853" w:rsidR="00D05853">
        <w:rPr>
          <w:b/>
          <w:color w:val="auto"/>
          <w:sz w:val="23"/>
          <w:szCs w:val="23"/>
        </w:rPr>
        <w:t xml:space="preserve"> </w:t>
      </w:r>
      <w:r w:rsidRPr="00D05853">
        <w:rPr>
          <w:b/>
          <w:color w:val="auto"/>
          <w:sz w:val="23"/>
          <w:szCs w:val="23"/>
        </w:rPr>
        <w:t>March 2021</w:t>
      </w:r>
      <w:r w:rsidRPr="008D6F71">
        <w:rPr>
          <w:color w:val="auto"/>
          <w:sz w:val="23"/>
          <w:szCs w:val="23"/>
        </w:rPr>
        <w:t>.</w:t>
      </w:r>
    </w:p>
    <w:p w:rsidRPr="008D6F71" w:rsidR="008D6F71" w:rsidP="008D6F71" w:rsidRDefault="008D6F71" w14:paraId="7222564B" w14:textId="77777777">
      <w:pPr>
        <w:pStyle w:val="Default"/>
        <w:ind w:left="720"/>
        <w:jc w:val="both"/>
      </w:pPr>
    </w:p>
    <w:p w:rsidR="008D6F71" w:rsidP="004D440D" w:rsidRDefault="008D6F71" w14:paraId="6AABC2BA" w14:textId="0C3D7AF5">
      <w:pPr>
        <w:pStyle w:val="Default"/>
        <w:numPr>
          <w:ilvl w:val="0"/>
          <w:numId w:val="1"/>
        </w:numPr>
        <w:jc w:val="both"/>
      </w:pPr>
      <w:r w:rsidRPr="008D6F71">
        <w:rPr>
          <w:color w:val="auto"/>
          <w:sz w:val="23"/>
          <w:szCs w:val="23"/>
        </w:rPr>
        <w:t xml:space="preserve">Businesses registering for the first time will </w:t>
      </w:r>
      <w:r w:rsidRPr="008D6F71" w:rsidR="00463425">
        <w:t>be asked to self-declare</w:t>
      </w:r>
      <w:r>
        <w:t xml:space="preserve"> </w:t>
      </w:r>
      <w:r w:rsidRPr="008D6F71" w:rsidR="00463425">
        <w:t xml:space="preserve">whether they </w:t>
      </w:r>
      <w:r>
        <w:t xml:space="preserve">have </w:t>
      </w:r>
      <w:r w:rsidRPr="008D6F71" w:rsidR="00463425">
        <w:t xml:space="preserve">experienced a </w:t>
      </w:r>
      <w:r w:rsidRPr="00D05853" w:rsidR="00463425">
        <w:rPr>
          <w:b/>
        </w:rPr>
        <w:t>40% reduction in turnover</w:t>
      </w:r>
      <w:r w:rsidRPr="008D6F71" w:rsidR="00463425">
        <w:t xml:space="preserve"> for </w:t>
      </w:r>
      <w:r w:rsidRPr="008D6F71" w:rsidR="00E163EC">
        <w:t xml:space="preserve">January </w:t>
      </w:r>
      <w:r w:rsidR="00D573E3">
        <w:t xml:space="preserve">2021 </w:t>
      </w:r>
      <w:r w:rsidRPr="008D6F71" w:rsidR="00E163EC">
        <w:t>and February 2021</w:t>
      </w:r>
      <w:r w:rsidRPr="008D6F71" w:rsidR="00463425">
        <w:t xml:space="preserve"> as compared to </w:t>
      </w:r>
      <w:r w:rsidRPr="008D6F71" w:rsidR="00E163EC">
        <w:t>January</w:t>
      </w:r>
      <w:r w:rsidR="00D573E3">
        <w:t xml:space="preserve"> 2020</w:t>
      </w:r>
      <w:r w:rsidRPr="008D6F71" w:rsidR="00E163EC">
        <w:t xml:space="preserve"> and February 2020</w:t>
      </w:r>
      <w:r w:rsidRPr="008D6F71" w:rsidR="00463425">
        <w:t>.</w:t>
      </w:r>
      <w:r w:rsidRPr="008D6F71" w:rsidR="009225ED">
        <w:t xml:space="preserve"> </w:t>
      </w:r>
    </w:p>
    <w:p w:rsidR="008D6F71" w:rsidP="008D6F71" w:rsidRDefault="008D6F71" w14:paraId="478AEA4B" w14:textId="77777777">
      <w:pPr>
        <w:pStyle w:val="Default"/>
        <w:ind w:left="720"/>
        <w:jc w:val="both"/>
      </w:pPr>
    </w:p>
    <w:p w:rsidR="008D6F71" w:rsidP="001A7A8B" w:rsidRDefault="00CA3F1A" w14:paraId="50074AF7" w14:textId="660E220C">
      <w:pPr>
        <w:pStyle w:val="Default"/>
        <w:numPr>
          <w:ilvl w:val="0"/>
          <w:numId w:val="1"/>
        </w:numPr>
        <w:jc w:val="both"/>
      </w:pPr>
      <w:r w:rsidRPr="008D6F71">
        <w:t xml:space="preserve">For </w:t>
      </w:r>
      <w:r w:rsidR="008D6F71">
        <w:t xml:space="preserve">registering </w:t>
      </w:r>
      <w:r w:rsidRPr="008D6F71">
        <w:t xml:space="preserve">businesses that had not yet started trading in </w:t>
      </w:r>
      <w:r w:rsidRPr="008D6F71" w:rsidR="00E163EC">
        <w:t xml:space="preserve">January </w:t>
      </w:r>
      <w:r w:rsidRPr="008D6F71">
        <w:t>20</w:t>
      </w:r>
      <w:r w:rsidRPr="008D6F71" w:rsidR="00E163EC">
        <w:t>21</w:t>
      </w:r>
      <w:r w:rsidR="001A7A8B">
        <w:t xml:space="preserve"> local authorities will need to apply their discretion in assessing the application</w:t>
      </w:r>
      <w:r w:rsidRPr="008D6F71">
        <w:t xml:space="preserve">. </w:t>
      </w:r>
    </w:p>
    <w:p w:rsidR="008D6F71" w:rsidP="008D6F71" w:rsidRDefault="008D6F71" w14:paraId="018D5524" w14:textId="77777777">
      <w:pPr>
        <w:pStyle w:val="Default"/>
        <w:ind w:left="720"/>
        <w:jc w:val="both"/>
      </w:pPr>
    </w:p>
    <w:p w:rsidR="002340ED" w:rsidP="002340ED" w:rsidRDefault="008D6F71" w14:paraId="7B9F0D6A" w14:textId="1FD28BC1">
      <w:pPr>
        <w:pStyle w:val="Default"/>
        <w:numPr>
          <w:ilvl w:val="0"/>
          <w:numId w:val="1"/>
        </w:numPr>
        <w:jc w:val="both"/>
      </w:pPr>
      <w:r>
        <w:t>B</w:t>
      </w:r>
      <w:r w:rsidRPr="008D6F71" w:rsidR="000C7275">
        <w:t>usinesses needing to register</w:t>
      </w:r>
      <w:r w:rsidRPr="008D6F71" w:rsidR="002F4D57">
        <w:t xml:space="preserve"> will need to be liable as the ratepayer to the local authority and in occupation of the qualifying hereditament on </w:t>
      </w:r>
      <w:r w:rsidRPr="002340ED" w:rsidR="002F4D57">
        <w:rPr>
          <w:b/>
        </w:rPr>
        <w:t>1</w:t>
      </w:r>
      <w:r w:rsidRPr="002340ED" w:rsidR="002F4D57">
        <w:rPr>
          <w:b/>
          <w:vertAlign w:val="superscript"/>
        </w:rPr>
        <w:t>st</w:t>
      </w:r>
      <w:r w:rsidRPr="002340ED" w:rsidR="002F4D57">
        <w:rPr>
          <w:b/>
        </w:rPr>
        <w:t xml:space="preserve"> March 2021</w:t>
      </w:r>
      <w:r w:rsidRPr="002340ED" w:rsidR="002340ED">
        <w:t xml:space="preserve"> </w:t>
      </w:r>
      <w:r w:rsidR="002340ED">
        <w:t xml:space="preserve">and will need to have been actively trading and generating sales revenue up to 6pm on </w:t>
      </w:r>
      <w:r w:rsidRPr="00A309B9" w:rsidR="002340ED">
        <w:rPr>
          <w:b/>
        </w:rPr>
        <w:t>4</w:t>
      </w:r>
      <w:r w:rsidRPr="00A309B9" w:rsidR="002340ED">
        <w:rPr>
          <w:b/>
          <w:vertAlign w:val="superscript"/>
        </w:rPr>
        <w:t>th</w:t>
      </w:r>
      <w:r w:rsidRPr="00A309B9" w:rsidR="002340ED">
        <w:rPr>
          <w:b/>
        </w:rPr>
        <w:t xml:space="preserve"> December 2020</w:t>
      </w:r>
      <w:r w:rsidR="002340ED">
        <w:t>.</w:t>
      </w:r>
    </w:p>
    <w:p w:rsidR="008D6F71" w:rsidP="002340ED" w:rsidRDefault="008D6F71" w14:paraId="4C25AB02" w14:textId="2A7C3F8F">
      <w:pPr>
        <w:pStyle w:val="Default"/>
        <w:ind w:left="720"/>
        <w:jc w:val="both"/>
      </w:pPr>
    </w:p>
    <w:p w:rsidR="008D6F71" w:rsidP="008D6F71" w:rsidRDefault="00B641DA" w14:paraId="3A4B5EE2" w14:textId="03B919A7">
      <w:pPr>
        <w:pStyle w:val="Default"/>
        <w:numPr>
          <w:ilvl w:val="0"/>
          <w:numId w:val="1"/>
        </w:numPr>
        <w:jc w:val="both"/>
      </w:pPr>
      <w:r w:rsidRPr="008D6F71">
        <w:t>The multiple property restriction applied to the Small Business Rates Relief scheme applies to this grant. Therefore the same ratepayer may only receive the grant for a maximum of two properties in each local authority.</w:t>
      </w:r>
    </w:p>
    <w:p w:rsidR="008D6F71" w:rsidP="008D6F71" w:rsidRDefault="008D6F71" w14:paraId="6F19C148" w14:textId="77777777">
      <w:pPr>
        <w:pStyle w:val="Default"/>
        <w:ind w:left="720"/>
        <w:jc w:val="both"/>
      </w:pPr>
    </w:p>
    <w:p w:rsidR="00E71ED8" w:rsidP="008D6F71" w:rsidRDefault="00E71ED8" w14:paraId="5430B3D0" w14:textId="43DF5E4B">
      <w:pPr>
        <w:pStyle w:val="Default"/>
        <w:numPr>
          <w:ilvl w:val="0"/>
          <w:numId w:val="1"/>
        </w:numPr>
        <w:jc w:val="both"/>
      </w:pPr>
      <w:r w:rsidRPr="008D6F71">
        <w:t>Grant A will also apply to ratepayers eligible for charitable relief and Community Amateur Sports Clubs (CASC) relief, operating in the leisure and hospitality sectors occupying properties with a rateable value of up to £12,000. Local authorities have discretion to provide grants to not-for-profit bodies they consider to be operating for charitable purposes but aren’t currently receiving charitable relief or CASC relief. This discretion will only apply to not-for-profit organisations who are in receipt of or have entitlement to discretionary rates relief and operate in the leisure or hospitality sectors.</w:t>
      </w:r>
    </w:p>
    <w:p w:rsidR="00B55EC8" w:rsidP="00B55EC8" w:rsidRDefault="00B55EC8" w14:paraId="6B312EB2" w14:textId="77777777">
      <w:pPr>
        <w:pStyle w:val="Default"/>
        <w:ind w:left="720"/>
        <w:jc w:val="both"/>
      </w:pPr>
    </w:p>
    <w:p w:rsidRPr="00D573E3" w:rsidR="00031C2B" w:rsidP="005C71C0" w:rsidRDefault="00D573E3" w14:paraId="79F5EBC0" w14:textId="33AD680B">
      <w:pPr>
        <w:pStyle w:val="Default"/>
        <w:numPr>
          <w:ilvl w:val="0"/>
          <w:numId w:val="1"/>
        </w:numPr>
        <w:jc w:val="both"/>
      </w:pPr>
      <w:r>
        <w:t>Grant B</w:t>
      </w:r>
      <w:r w:rsidRPr="00D573E3" w:rsidR="00031C2B">
        <w:t xml:space="preserve"> is </w:t>
      </w:r>
      <w:r w:rsidRPr="00D573E3" w:rsidR="00DD1F75">
        <w:t xml:space="preserve">also </w:t>
      </w:r>
      <w:r w:rsidRPr="00D573E3" w:rsidR="00031C2B">
        <w:t>available to</w:t>
      </w:r>
      <w:r w:rsidRPr="00D573E3" w:rsidR="005B729A">
        <w:t xml:space="preserve"> </w:t>
      </w:r>
      <w:r w:rsidRPr="00D573E3" w:rsidR="00031C2B">
        <w:t>not-for-profit organisations occupying eligible hospitality and leisure properties.</w:t>
      </w:r>
    </w:p>
    <w:p w:rsidR="00AD334C" w:rsidP="00013A7E" w:rsidRDefault="00AD334C" w14:paraId="6200592A" w14:textId="6695351B">
      <w:pPr>
        <w:spacing w:after="0" w:line="240" w:lineRule="auto"/>
        <w:jc w:val="both"/>
        <w:rPr>
          <w:rFonts w:ascii="Arial" w:hAnsi="Arial" w:cs="Arial"/>
          <w:sz w:val="24"/>
          <w:szCs w:val="24"/>
        </w:rPr>
      </w:pPr>
    </w:p>
    <w:p w:rsidR="00C116B9" w:rsidP="00C116B9" w:rsidRDefault="00C116B9" w14:paraId="382FC46E" w14:textId="4948C612">
      <w:pPr>
        <w:pStyle w:val="Default"/>
        <w:ind w:left="720"/>
        <w:rPr>
          <w:color w:val="auto"/>
        </w:rPr>
      </w:pPr>
    </w:p>
    <w:p w:rsidRPr="00C116B9" w:rsidR="0004582D" w:rsidP="00C116B9" w:rsidRDefault="0004582D" w14:paraId="07E36EEB" w14:textId="77777777">
      <w:pPr>
        <w:pStyle w:val="Default"/>
        <w:ind w:left="720"/>
        <w:rPr>
          <w:color w:val="auto"/>
        </w:rPr>
      </w:pPr>
    </w:p>
    <w:p w:rsidRPr="00AE0DD7" w:rsidR="00F40ADE" w:rsidP="00AE0DD7" w:rsidRDefault="00B62575" w14:paraId="1B8F94F8" w14:textId="6986B0BC">
      <w:pPr>
        <w:pStyle w:val="Default"/>
        <w:rPr>
          <w:b/>
          <w:bCs/>
          <w:color w:val="auto"/>
          <w:sz w:val="36"/>
          <w:szCs w:val="36"/>
        </w:rPr>
      </w:pPr>
      <w:r w:rsidRPr="00C116B9">
        <w:rPr>
          <w:b/>
          <w:bCs/>
          <w:color w:val="auto"/>
          <w:sz w:val="36"/>
          <w:szCs w:val="36"/>
        </w:rPr>
        <w:t xml:space="preserve">Definitions </w:t>
      </w:r>
      <w:r w:rsidR="00E56B1D">
        <w:rPr>
          <w:b/>
          <w:bCs/>
          <w:color w:val="auto"/>
          <w:sz w:val="36"/>
          <w:szCs w:val="36"/>
        </w:rPr>
        <w:t>–</w:t>
      </w:r>
      <w:r w:rsidRPr="00C116B9">
        <w:rPr>
          <w:b/>
          <w:bCs/>
          <w:color w:val="auto"/>
          <w:sz w:val="36"/>
          <w:szCs w:val="36"/>
        </w:rPr>
        <w:t xml:space="preserve"> </w:t>
      </w:r>
      <w:r w:rsidRPr="00C116B9" w:rsidR="00517B2B">
        <w:rPr>
          <w:b/>
          <w:bCs/>
          <w:color w:val="auto"/>
          <w:sz w:val="36"/>
          <w:szCs w:val="36"/>
        </w:rPr>
        <w:t>Hospitality</w:t>
      </w:r>
    </w:p>
    <w:p w:rsidR="00517B2B" w:rsidP="00F40ADE" w:rsidRDefault="00517B2B" w14:paraId="6E529BDF" w14:textId="77777777">
      <w:pPr>
        <w:pStyle w:val="Default"/>
        <w:rPr>
          <w:color w:val="auto"/>
          <w:sz w:val="23"/>
          <w:szCs w:val="23"/>
        </w:rPr>
      </w:pPr>
    </w:p>
    <w:p w:rsidRPr="00D10BA6" w:rsidR="00EE3BD1" w:rsidP="00D10BA6" w:rsidRDefault="0070743A" w14:paraId="14B863DC" w14:textId="6F7FDE27">
      <w:pPr>
        <w:pStyle w:val="Default"/>
        <w:numPr>
          <w:ilvl w:val="0"/>
          <w:numId w:val="1"/>
        </w:numPr>
        <w:rPr>
          <w:color w:val="auto"/>
        </w:rPr>
      </w:pPr>
      <w:r>
        <w:rPr>
          <w:color w:val="auto"/>
        </w:rPr>
        <w:t>Qualifying h</w:t>
      </w:r>
      <w:r w:rsidR="00E71ED8">
        <w:rPr>
          <w:color w:val="auto"/>
        </w:rPr>
        <w:t>ospitality h</w:t>
      </w:r>
      <w:r w:rsidRPr="00D10BA6" w:rsidR="00EE3BD1">
        <w:rPr>
          <w:color w:val="auto"/>
        </w:rPr>
        <w:t xml:space="preserve">ereditaments </w:t>
      </w:r>
      <w:r w:rsidR="00E71ED8">
        <w:rPr>
          <w:color w:val="auto"/>
        </w:rPr>
        <w:t>include:</w:t>
      </w:r>
      <w:r w:rsidRPr="00D10BA6" w:rsidR="00EE3BD1">
        <w:rPr>
          <w:color w:val="auto"/>
        </w:rPr>
        <w:t xml:space="preserve"> </w:t>
      </w:r>
    </w:p>
    <w:p w:rsidR="00EE3BD1" w:rsidP="00EE3BD1" w:rsidRDefault="00EE3BD1" w14:paraId="00DBB881" w14:textId="77777777">
      <w:pPr>
        <w:pStyle w:val="Default"/>
        <w:rPr>
          <w:color w:val="auto"/>
          <w:sz w:val="23"/>
          <w:szCs w:val="23"/>
        </w:rPr>
      </w:pPr>
    </w:p>
    <w:p w:rsidRPr="00EE3BD1" w:rsidR="00EE3BD1" w:rsidP="00D10BA6" w:rsidRDefault="00EE3BD1" w14:paraId="0841EE94" w14:textId="48E72562">
      <w:pPr>
        <w:pStyle w:val="Default"/>
        <w:ind w:left="720"/>
        <w:rPr>
          <w:color w:val="auto"/>
          <w:sz w:val="23"/>
          <w:szCs w:val="23"/>
        </w:rPr>
      </w:pPr>
      <w:r w:rsidRPr="00EE3BD1">
        <w:rPr>
          <w:color w:val="auto"/>
          <w:sz w:val="23"/>
          <w:szCs w:val="23"/>
        </w:rPr>
        <w:t xml:space="preserve">- </w:t>
      </w:r>
      <w:r w:rsidR="009D75D4">
        <w:rPr>
          <w:color w:val="auto"/>
          <w:sz w:val="23"/>
          <w:szCs w:val="23"/>
        </w:rPr>
        <w:t>R</w:t>
      </w:r>
      <w:r w:rsidRPr="00EE3BD1">
        <w:rPr>
          <w:color w:val="auto"/>
          <w:sz w:val="23"/>
          <w:szCs w:val="23"/>
        </w:rPr>
        <w:t xml:space="preserve">estaurants </w:t>
      </w:r>
    </w:p>
    <w:p w:rsidRPr="00EE3BD1" w:rsidR="00EE3BD1" w:rsidP="00D10BA6" w:rsidRDefault="00EE3BD1" w14:paraId="646A62B4" w14:textId="094A3257">
      <w:pPr>
        <w:pStyle w:val="Default"/>
        <w:ind w:left="720"/>
        <w:rPr>
          <w:color w:val="auto"/>
          <w:sz w:val="23"/>
          <w:szCs w:val="23"/>
        </w:rPr>
      </w:pPr>
      <w:r w:rsidRPr="00EE3BD1">
        <w:rPr>
          <w:color w:val="auto"/>
          <w:sz w:val="23"/>
          <w:szCs w:val="23"/>
        </w:rPr>
        <w:t xml:space="preserve">- </w:t>
      </w:r>
      <w:r w:rsidR="009D75D4">
        <w:rPr>
          <w:color w:val="auto"/>
          <w:sz w:val="23"/>
          <w:szCs w:val="23"/>
        </w:rPr>
        <w:t>C</w:t>
      </w:r>
      <w:r w:rsidRPr="00EE3BD1">
        <w:rPr>
          <w:color w:val="auto"/>
          <w:sz w:val="23"/>
          <w:szCs w:val="23"/>
        </w:rPr>
        <w:t xml:space="preserve">afés </w:t>
      </w:r>
    </w:p>
    <w:p w:rsidRPr="00EE3BD1" w:rsidR="00EE3BD1" w:rsidP="00D10BA6" w:rsidRDefault="00EE3BD1" w14:paraId="60598EE9" w14:textId="77777777">
      <w:pPr>
        <w:pStyle w:val="Default"/>
        <w:ind w:left="720"/>
        <w:rPr>
          <w:color w:val="auto"/>
          <w:sz w:val="23"/>
          <w:szCs w:val="23"/>
        </w:rPr>
      </w:pPr>
      <w:r w:rsidRPr="00EE3BD1">
        <w:rPr>
          <w:color w:val="auto"/>
          <w:sz w:val="23"/>
          <w:szCs w:val="23"/>
        </w:rPr>
        <w:t xml:space="preserve">- Pubs </w:t>
      </w:r>
    </w:p>
    <w:p w:rsidR="00EE3BD1" w:rsidP="00D10BA6" w:rsidRDefault="00EE3BD1" w14:paraId="66CC5802" w14:textId="77777777">
      <w:pPr>
        <w:pStyle w:val="Default"/>
        <w:ind w:left="720"/>
        <w:rPr>
          <w:color w:val="auto"/>
          <w:sz w:val="23"/>
          <w:szCs w:val="23"/>
        </w:rPr>
      </w:pPr>
      <w:r w:rsidRPr="00EE3BD1">
        <w:rPr>
          <w:color w:val="auto"/>
          <w:sz w:val="23"/>
          <w:szCs w:val="23"/>
        </w:rPr>
        <w:t xml:space="preserve">- Bars or </w:t>
      </w:r>
      <w:r w:rsidR="00AD334C">
        <w:rPr>
          <w:color w:val="auto"/>
          <w:sz w:val="23"/>
          <w:szCs w:val="23"/>
        </w:rPr>
        <w:t>wine b</w:t>
      </w:r>
      <w:r w:rsidRPr="00EE3BD1">
        <w:rPr>
          <w:color w:val="auto"/>
          <w:sz w:val="23"/>
          <w:szCs w:val="23"/>
        </w:rPr>
        <w:t>ars</w:t>
      </w:r>
    </w:p>
    <w:p w:rsidR="000E2A64" w:rsidP="00D10BA6" w:rsidRDefault="000E2A64" w14:paraId="48593CFC" w14:textId="7E79DA44">
      <w:pPr>
        <w:pStyle w:val="Default"/>
        <w:ind w:left="720"/>
        <w:rPr>
          <w:color w:val="auto"/>
          <w:sz w:val="23"/>
          <w:szCs w:val="23"/>
        </w:rPr>
      </w:pPr>
      <w:r>
        <w:rPr>
          <w:color w:val="auto"/>
          <w:sz w:val="23"/>
          <w:szCs w:val="23"/>
        </w:rPr>
        <w:t xml:space="preserve">- </w:t>
      </w:r>
      <w:r w:rsidR="009D75D4">
        <w:rPr>
          <w:color w:val="auto"/>
          <w:sz w:val="23"/>
          <w:szCs w:val="23"/>
        </w:rPr>
        <w:t>A</w:t>
      </w:r>
      <w:r>
        <w:rPr>
          <w:color w:val="auto"/>
          <w:sz w:val="23"/>
          <w:szCs w:val="23"/>
        </w:rPr>
        <w:t>ccommodation</w:t>
      </w:r>
      <w:r w:rsidR="00AD334C">
        <w:rPr>
          <w:color w:val="auto"/>
          <w:sz w:val="23"/>
          <w:szCs w:val="23"/>
        </w:rPr>
        <w:t xml:space="preserve"> providers (e.g. hotels)</w:t>
      </w:r>
    </w:p>
    <w:p w:rsidR="00E71ED8" w:rsidP="00D10BA6" w:rsidRDefault="00E71ED8" w14:paraId="22857DD8" w14:textId="77777777">
      <w:pPr>
        <w:pStyle w:val="Default"/>
        <w:ind w:left="720"/>
        <w:rPr>
          <w:color w:val="auto"/>
          <w:sz w:val="23"/>
          <w:szCs w:val="23"/>
        </w:rPr>
      </w:pPr>
    </w:p>
    <w:p w:rsidR="0070743A" w:rsidP="00B41194" w:rsidRDefault="00E71ED8" w14:paraId="2AA15D20" w14:textId="3F2E9806">
      <w:pPr>
        <w:pStyle w:val="Default"/>
        <w:numPr>
          <w:ilvl w:val="0"/>
          <w:numId w:val="1"/>
        </w:numPr>
        <w:rPr>
          <w:color w:val="auto"/>
          <w:sz w:val="23"/>
          <w:szCs w:val="23"/>
        </w:rPr>
      </w:pPr>
      <w:r w:rsidRPr="0070743A">
        <w:rPr>
          <w:color w:val="auto"/>
          <w:sz w:val="23"/>
          <w:szCs w:val="23"/>
        </w:rPr>
        <w:t xml:space="preserve">In addition, </w:t>
      </w:r>
      <w:r w:rsidRPr="0070743A" w:rsidR="00E226A9">
        <w:rPr>
          <w:color w:val="auto"/>
          <w:sz w:val="23"/>
          <w:szCs w:val="23"/>
        </w:rPr>
        <w:t xml:space="preserve">some </w:t>
      </w:r>
      <w:r w:rsidRPr="0070743A" w:rsidR="000E2A64">
        <w:rPr>
          <w:color w:val="auto"/>
          <w:sz w:val="23"/>
          <w:szCs w:val="23"/>
        </w:rPr>
        <w:t xml:space="preserve">premises </w:t>
      </w:r>
      <w:r w:rsidRPr="0070743A" w:rsidR="00AD334C">
        <w:rPr>
          <w:color w:val="auto"/>
          <w:sz w:val="23"/>
          <w:szCs w:val="23"/>
        </w:rPr>
        <w:t xml:space="preserve">are </w:t>
      </w:r>
      <w:r w:rsidRPr="0070743A" w:rsidR="000E2A64">
        <w:rPr>
          <w:color w:val="auto"/>
          <w:sz w:val="23"/>
          <w:szCs w:val="23"/>
        </w:rPr>
        <w:t xml:space="preserve">required to close </w:t>
      </w:r>
      <w:r w:rsidRPr="0070743A" w:rsidR="00E226A9">
        <w:rPr>
          <w:color w:val="auto"/>
          <w:sz w:val="23"/>
          <w:szCs w:val="23"/>
        </w:rPr>
        <w:t>under the Health Protection (Coronavirus Restrictions) (No. 4) (Wales) Regulations 2020, as amended</w:t>
      </w:r>
      <w:r w:rsidR="00E226A9">
        <w:rPr>
          <w:rStyle w:val="FootnoteReference"/>
          <w:color w:val="auto"/>
          <w:sz w:val="23"/>
          <w:szCs w:val="23"/>
        </w:rPr>
        <w:footnoteReference w:id="1"/>
      </w:r>
      <w:r w:rsidRPr="0070743A" w:rsidR="00E226A9">
        <w:rPr>
          <w:color w:val="auto"/>
          <w:sz w:val="23"/>
          <w:szCs w:val="23"/>
        </w:rPr>
        <w:t xml:space="preserve">. </w:t>
      </w:r>
      <w:r w:rsidRPr="0070743A" w:rsidR="0070743A">
        <w:rPr>
          <w:color w:val="auto"/>
          <w:sz w:val="23"/>
          <w:szCs w:val="23"/>
        </w:rPr>
        <w:t xml:space="preserve">A list of such properties is provided below. </w:t>
      </w:r>
    </w:p>
    <w:p w:rsidRPr="0070743A" w:rsidR="0070743A" w:rsidP="0070743A" w:rsidRDefault="0070743A" w14:paraId="798AE2D0" w14:textId="77777777">
      <w:pPr>
        <w:pStyle w:val="Default"/>
        <w:ind w:left="720"/>
        <w:rPr>
          <w:color w:val="auto"/>
          <w:sz w:val="23"/>
          <w:szCs w:val="23"/>
        </w:rPr>
      </w:pPr>
    </w:p>
    <w:p w:rsidR="00F03EDE" w:rsidP="00AD334C" w:rsidRDefault="00F03EDE" w14:paraId="47646BDB" w14:textId="61416529">
      <w:pPr>
        <w:pStyle w:val="Default"/>
        <w:numPr>
          <w:ilvl w:val="0"/>
          <w:numId w:val="10"/>
        </w:numPr>
        <w:rPr>
          <w:color w:val="auto"/>
          <w:sz w:val="23"/>
          <w:szCs w:val="23"/>
        </w:rPr>
      </w:pPr>
      <w:r>
        <w:rPr>
          <w:color w:val="auto"/>
          <w:sz w:val="23"/>
          <w:szCs w:val="23"/>
        </w:rPr>
        <w:t>Concert halls</w:t>
      </w:r>
    </w:p>
    <w:p w:rsidR="00F03EDE" w:rsidP="00AD334C" w:rsidRDefault="00F03EDE" w14:paraId="24D2C0AB" w14:textId="2218477A">
      <w:pPr>
        <w:pStyle w:val="Default"/>
        <w:numPr>
          <w:ilvl w:val="0"/>
          <w:numId w:val="10"/>
        </w:numPr>
        <w:rPr>
          <w:color w:val="auto"/>
          <w:sz w:val="23"/>
          <w:szCs w:val="23"/>
        </w:rPr>
      </w:pPr>
      <w:r>
        <w:rPr>
          <w:color w:val="auto"/>
          <w:sz w:val="23"/>
          <w:szCs w:val="23"/>
        </w:rPr>
        <w:t>Theatres</w:t>
      </w:r>
    </w:p>
    <w:p w:rsidR="00F03EDE" w:rsidP="00AD334C" w:rsidRDefault="00F03EDE" w14:paraId="1BD147F4" w14:textId="7B45E373">
      <w:pPr>
        <w:pStyle w:val="Default"/>
        <w:numPr>
          <w:ilvl w:val="0"/>
          <w:numId w:val="10"/>
        </w:numPr>
        <w:rPr>
          <w:color w:val="auto"/>
          <w:sz w:val="23"/>
          <w:szCs w:val="23"/>
        </w:rPr>
      </w:pPr>
      <w:r>
        <w:rPr>
          <w:color w:val="auto"/>
          <w:sz w:val="23"/>
          <w:szCs w:val="23"/>
        </w:rPr>
        <w:t>Licenced club premises or live music venues</w:t>
      </w:r>
    </w:p>
    <w:p w:rsidR="00F03EDE" w:rsidP="00AD334C" w:rsidRDefault="00F03EDE" w14:paraId="361EC711" w14:textId="0FD74227">
      <w:pPr>
        <w:pStyle w:val="Default"/>
        <w:numPr>
          <w:ilvl w:val="0"/>
          <w:numId w:val="10"/>
        </w:numPr>
        <w:rPr>
          <w:color w:val="auto"/>
          <w:sz w:val="23"/>
          <w:szCs w:val="23"/>
        </w:rPr>
      </w:pPr>
      <w:r>
        <w:rPr>
          <w:color w:val="auto"/>
          <w:sz w:val="23"/>
          <w:szCs w:val="23"/>
        </w:rPr>
        <w:t>Bingo halls</w:t>
      </w:r>
    </w:p>
    <w:p w:rsidR="00F03EDE" w:rsidP="00AD334C" w:rsidRDefault="00F03EDE" w14:paraId="50118B6A" w14:textId="28982698">
      <w:pPr>
        <w:pStyle w:val="Default"/>
        <w:numPr>
          <w:ilvl w:val="0"/>
          <w:numId w:val="10"/>
        </w:numPr>
        <w:rPr>
          <w:color w:val="auto"/>
          <w:sz w:val="23"/>
          <w:szCs w:val="23"/>
        </w:rPr>
      </w:pPr>
      <w:r>
        <w:rPr>
          <w:color w:val="auto"/>
          <w:sz w:val="23"/>
          <w:szCs w:val="23"/>
        </w:rPr>
        <w:t>Bowling alleys, amusement arcades and indoor play areas</w:t>
      </w:r>
    </w:p>
    <w:p w:rsidR="00AD334C" w:rsidP="00AD334C" w:rsidRDefault="00AD334C" w14:paraId="42182A0A" w14:textId="2D86A3B7">
      <w:pPr>
        <w:pStyle w:val="Default"/>
        <w:numPr>
          <w:ilvl w:val="0"/>
          <w:numId w:val="10"/>
        </w:numPr>
        <w:rPr>
          <w:color w:val="auto"/>
          <w:sz w:val="23"/>
          <w:szCs w:val="23"/>
        </w:rPr>
      </w:pPr>
      <w:r>
        <w:rPr>
          <w:color w:val="auto"/>
          <w:sz w:val="23"/>
          <w:szCs w:val="23"/>
        </w:rPr>
        <w:t>Cinemas</w:t>
      </w:r>
    </w:p>
    <w:p w:rsidR="00F03EDE" w:rsidP="00AD334C" w:rsidRDefault="00F03EDE" w14:paraId="214371DC" w14:textId="000B9176">
      <w:pPr>
        <w:pStyle w:val="Default"/>
        <w:numPr>
          <w:ilvl w:val="0"/>
          <w:numId w:val="10"/>
        </w:numPr>
        <w:rPr>
          <w:color w:val="auto"/>
          <w:sz w:val="23"/>
          <w:szCs w:val="23"/>
        </w:rPr>
      </w:pPr>
      <w:r>
        <w:rPr>
          <w:color w:val="auto"/>
          <w:sz w:val="23"/>
          <w:szCs w:val="23"/>
        </w:rPr>
        <w:t>Skating rinks</w:t>
      </w:r>
    </w:p>
    <w:p w:rsidR="00F03EDE" w:rsidP="00AD334C" w:rsidRDefault="00F03EDE" w14:paraId="56D7FD06" w14:textId="148E171E">
      <w:pPr>
        <w:pStyle w:val="Default"/>
        <w:numPr>
          <w:ilvl w:val="0"/>
          <w:numId w:val="10"/>
        </w:numPr>
        <w:rPr>
          <w:color w:val="auto"/>
          <w:sz w:val="23"/>
          <w:szCs w:val="23"/>
        </w:rPr>
      </w:pPr>
      <w:r>
        <w:rPr>
          <w:color w:val="auto"/>
          <w:sz w:val="23"/>
          <w:szCs w:val="23"/>
        </w:rPr>
        <w:t>Funfairs, amusement parks and theme parks</w:t>
      </w:r>
    </w:p>
    <w:p w:rsidR="00F03EDE" w:rsidP="00AD334C" w:rsidRDefault="00F03EDE" w14:paraId="2A19A919" w14:textId="64714284">
      <w:pPr>
        <w:pStyle w:val="Default"/>
        <w:numPr>
          <w:ilvl w:val="0"/>
          <w:numId w:val="10"/>
        </w:numPr>
        <w:rPr>
          <w:color w:val="auto"/>
          <w:sz w:val="23"/>
          <w:szCs w:val="23"/>
        </w:rPr>
      </w:pPr>
      <w:r>
        <w:rPr>
          <w:color w:val="auto"/>
          <w:sz w:val="23"/>
          <w:szCs w:val="23"/>
        </w:rPr>
        <w:t>Museums and galleries</w:t>
      </w:r>
    </w:p>
    <w:p w:rsidR="00F03EDE" w:rsidP="00AD334C" w:rsidRDefault="00F03EDE" w14:paraId="6811AC46" w14:textId="604AC539">
      <w:pPr>
        <w:pStyle w:val="Default"/>
        <w:numPr>
          <w:ilvl w:val="0"/>
          <w:numId w:val="10"/>
        </w:numPr>
        <w:rPr>
          <w:color w:val="auto"/>
          <w:sz w:val="23"/>
          <w:szCs w:val="23"/>
        </w:rPr>
      </w:pPr>
      <w:r>
        <w:rPr>
          <w:color w:val="auto"/>
          <w:sz w:val="23"/>
          <w:szCs w:val="23"/>
        </w:rPr>
        <w:t>Visitor attractions</w:t>
      </w:r>
    </w:p>
    <w:p w:rsidR="00F03EDE" w:rsidP="00F03EDE" w:rsidRDefault="00F03EDE" w14:paraId="2F7D0582" w14:textId="10660811">
      <w:pPr>
        <w:pStyle w:val="Default"/>
        <w:rPr>
          <w:color w:val="auto"/>
          <w:sz w:val="23"/>
          <w:szCs w:val="23"/>
        </w:rPr>
      </w:pPr>
    </w:p>
    <w:p w:rsidR="0070743A" w:rsidP="0070743A" w:rsidRDefault="0070743A" w14:paraId="5EB5D7A1" w14:textId="4CA39F7F">
      <w:pPr>
        <w:pStyle w:val="Default"/>
        <w:numPr>
          <w:ilvl w:val="0"/>
          <w:numId w:val="1"/>
        </w:numPr>
        <w:rPr>
          <w:color w:val="auto"/>
          <w:sz w:val="23"/>
          <w:szCs w:val="23"/>
        </w:rPr>
      </w:pPr>
      <w:r w:rsidRPr="0070743A">
        <w:rPr>
          <w:color w:val="auto"/>
          <w:sz w:val="23"/>
          <w:szCs w:val="23"/>
        </w:rPr>
        <w:t>Where businesses occupying properties</w:t>
      </w:r>
      <w:r w:rsidR="009460BA">
        <w:rPr>
          <w:color w:val="auto"/>
          <w:sz w:val="23"/>
          <w:szCs w:val="23"/>
        </w:rPr>
        <w:t xml:space="preserve"> types</w:t>
      </w:r>
      <w:r w:rsidRPr="0070743A">
        <w:rPr>
          <w:color w:val="auto"/>
          <w:sz w:val="23"/>
          <w:szCs w:val="23"/>
        </w:rPr>
        <w:t xml:space="preserve"> </w:t>
      </w:r>
      <w:r w:rsidR="009460BA">
        <w:rPr>
          <w:color w:val="auto"/>
          <w:sz w:val="23"/>
          <w:szCs w:val="23"/>
        </w:rPr>
        <w:t xml:space="preserve">listed above </w:t>
      </w:r>
      <w:r w:rsidRPr="0070743A">
        <w:rPr>
          <w:color w:val="auto"/>
          <w:sz w:val="23"/>
          <w:szCs w:val="23"/>
        </w:rPr>
        <w:t>have applied and have been awarded a grant under the December 2020 onwards NDR linked grant schemes, local authorities are expected to make an automated</w:t>
      </w:r>
      <w:r w:rsidR="009460BA">
        <w:rPr>
          <w:color w:val="auto"/>
          <w:sz w:val="23"/>
          <w:szCs w:val="23"/>
        </w:rPr>
        <w:t xml:space="preserve"> re-payment under this new scheme.</w:t>
      </w:r>
    </w:p>
    <w:p w:rsidR="009460BA" w:rsidP="009460BA" w:rsidRDefault="009460BA" w14:paraId="3C2A9A43" w14:textId="77777777">
      <w:pPr>
        <w:pStyle w:val="Default"/>
        <w:ind w:left="720"/>
        <w:rPr>
          <w:color w:val="auto"/>
          <w:sz w:val="23"/>
          <w:szCs w:val="23"/>
        </w:rPr>
      </w:pPr>
    </w:p>
    <w:p w:rsidR="009460BA" w:rsidP="009460BA" w:rsidRDefault="009460BA" w14:paraId="177F2376" w14:textId="64BA0C76">
      <w:pPr>
        <w:pStyle w:val="Default"/>
        <w:numPr>
          <w:ilvl w:val="0"/>
          <w:numId w:val="1"/>
        </w:numPr>
        <w:rPr>
          <w:color w:val="auto"/>
          <w:sz w:val="23"/>
          <w:szCs w:val="23"/>
        </w:rPr>
      </w:pPr>
      <w:r>
        <w:rPr>
          <w:color w:val="auto"/>
          <w:sz w:val="23"/>
          <w:szCs w:val="23"/>
        </w:rPr>
        <w:t>Any businesses occupying potentially eligible hereditaments that have not registered or been awarded a grant under the December 2020 onwards NDR linked grant schemes will need to complete the registration process.</w:t>
      </w:r>
    </w:p>
    <w:p w:rsidR="00E226A9" w:rsidP="00E56B1D" w:rsidRDefault="00E226A9" w14:paraId="6962B002" w14:textId="77777777">
      <w:pPr>
        <w:pStyle w:val="Default"/>
        <w:rPr>
          <w:b/>
          <w:bCs/>
          <w:color w:val="auto"/>
          <w:sz w:val="36"/>
          <w:szCs w:val="36"/>
        </w:rPr>
      </w:pPr>
    </w:p>
    <w:p w:rsidR="00E56B1D" w:rsidP="00E56B1D" w:rsidRDefault="00E56B1D" w14:paraId="7FE07645" w14:textId="010D41BA">
      <w:pPr>
        <w:pStyle w:val="Default"/>
        <w:rPr>
          <w:b/>
          <w:bCs/>
          <w:color w:val="auto"/>
          <w:sz w:val="36"/>
          <w:szCs w:val="36"/>
        </w:rPr>
      </w:pPr>
      <w:r w:rsidRPr="00E56B1D">
        <w:rPr>
          <w:b/>
          <w:bCs/>
          <w:color w:val="auto"/>
          <w:sz w:val="36"/>
          <w:szCs w:val="36"/>
        </w:rPr>
        <w:t xml:space="preserve">Definitions – </w:t>
      </w:r>
      <w:r w:rsidR="00E27754">
        <w:rPr>
          <w:b/>
          <w:bCs/>
          <w:color w:val="auto"/>
          <w:sz w:val="36"/>
          <w:szCs w:val="36"/>
        </w:rPr>
        <w:t xml:space="preserve">Hospitality, </w:t>
      </w:r>
      <w:r w:rsidRPr="00E56B1D">
        <w:rPr>
          <w:b/>
          <w:bCs/>
          <w:color w:val="auto"/>
          <w:sz w:val="36"/>
          <w:szCs w:val="36"/>
        </w:rPr>
        <w:t>Tourism</w:t>
      </w:r>
      <w:r w:rsidR="008D504A">
        <w:rPr>
          <w:b/>
          <w:bCs/>
          <w:color w:val="auto"/>
          <w:sz w:val="36"/>
          <w:szCs w:val="36"/>
        </w:rPr>
        <w:t xml:space="preserve">, </w:t>
      </w:r>
      <w:r w:rsidRPr="00E56B1D">
        <w:rPr>
          <w:b/>
          <w:bCs/>
          <w:color w:val="auto"/>
          <w:sz w:val="36"/>
          <w:szCs w:val="36"/>
        </w:rPr>
        <w:t xml:space="preserve">Leisure </w:t>
      </w:r>
      <w:r w:rsidR="008D504A">
        <w:rPr>
          <w:b/>
          <w:bCs/>
          <w:color w:val="auto"/>
          <w:sz w:val="36"/>
          <w:szCs w:val="36"/>
        </w:rPr>
        <w:t xml:space="preserve">supply chain </w:t>
      </w:r>
      <w:r w:rsidRPr="00E56B1D">
        <w:rPr>
          <w:b/>
          <w:bCs/>
          <w:color w:val="auto"/>
          <w:sz w:val="36"/>
          <w:szCs w:val="36"/>
        </w:rPr>
        <w:t xml:space="preserve">and Retail </w:t>
      </w:r>
    </w:p>
    <w:p w:rsidR="00E56B1D" w:rsidP="00E56B1D" w:rsidRDefault="00E56B1D" w14:paraId="6126284E" w14:textId="77777777">
      <w:pPr>
        <w:pStyle w:val="Default"/>
        <w:rPr>
          <w:b/>
          <w:bCs/>
          <w:color w:val="auto"/>
          <w:sz w:val="36"/>
          <w:szCs w:val="36"/>
        </w:rPr>
      </w:pPr>
    </w:p>
    <w:p w:rsidRPr="00223FCF" w:rsidR="00E56B1D" w:rsidP="00223FCF" w:rsidRDefault="00AC0756" w14:paraId="641381B4" w14:textId="38C2D26F">
      <w:pPr>
        <w:pStyle w:val="Default"/>
        <w:numPr>
          <w:ilvl w:val="0"/>
          <w:numId w:val="1"/>
        </w:numPr>
        <w:rPr>
          <w:color w:val="auto"/>
          <w:sz w:val="23"/>
          <w:szCs w:val="23"/>
        </w:rPr>
      </w:pPr>
      <w:r w:rsidRPr="00AC0756">
        <w:rPr>
          <w:color w:val="auto"/>
          <w:sz w:val="23"/>
          <w:szCs w:val="23"/>
        </w:rPr>
        <w:t xml:space="preserve">In processing </w:t>
      </w:r>
      <w:r w:rsidR="0070743A">
        <w:rPr>
          <w:color w:val="auto"/>
          <w:sz w:val="23"/>
          <w:szCs w:val="23"/>
        </w:rPr>
        <w:t xml:space="preserve">any </w:t>
      </w:r>
      <w:r w:rsidR="00826DC1">
        <w:rPr>
          <w:color w:val="auto"/>
          <w:sz w:val="23"/>
          <w:szCs w:val="23"/>
        </w:rPr>
        <w:t xml:space="preserve">new </w:t>
      </w:r>
      <w:r w:rsidRPr="00AC0756">
        <w:rPr>
          <w:color w:val="auto"/>
          <w:sz w:val="23"/>
          <w:szCs w:val="23"/>
        </w:rPr>
        <w:t xml:space="preserve">applications for each of the above grants from </w:t>
      </w:r>
      <w:r w:rsidRPr="00223FCF">
        <w:rPr>
          <w:color w:val="auto"/>
          <w:sz w:val="23"/>
          <w:szCs w:val="23"/>
        </w:rPr>
        <w:t>hospitality, tourism and leisure supply chain businesses and retail businesses</w:t>
      </w:r>
      <w:r w:rsidR="00624C75">
        <w:rPr>
          <w:color w:val="auto"/>
          <w:sz w:val="23"/>
          <w:szCs w:val="23"/>
        </w:rPr>
        <w:t xml:space="preserve"> materially impacted by the new restrictions</w:t>
      </w:r>
      <w:r w:rsidRPr="00223FCF">
        <w:rPr>
          <w:color w:val="auto"/>
          <w:sz w:val="23"/>
          <w:szCs w:val="23"/>
        </w:rPr>
        <w:t xml:space="preserve">, local authorities should apply </w:t>
      </w:r>
      <w:r w:rsidR="00826DC1">
        <w:rPr>
          <w:color w:val="auto"/>
          <w:sz w:val="23"/>
          <w:szCs w:val="23"/>
        </w:rPr>
        <w:t>the Welsh Government’s guidance on</w:t>
      </w:r>
      <w:r w:rsidRPr="00223FCF" w:rsidR="00826DC1">
        <w:rPr>
          <w:color w:val="auto"/>
          <w:sz w:val="23"/>
          <w:szCs w:val="23"/>
        </w:rPr>
        <w:t xml:space="preserve"> Retail, Leisure and Hospitality Rates Relief in Wales – 2020-21.</w:t>
      </w:r>
      <w:r w:rsidR="00826DC1">
        <w:rPr>
          <w:color w:val="auto"/>
          <w:sz w:val="23"/>
          <w:szCs w:val="23"/>
        </w:rPr>
        <w:t xml:space="preserve"> This guidance </w:t>
      </w:r>
      <w:r w:rsidRPr="00F9351B" w:rsidR="00826DC1">
        <w:t>provides a detailed list of the hereditaments that are eligible.  It also provides a list of hereditaments that are not eligible.</w:t>
      </w:r>
    </w:p>
    <w:p w:rsidRPr="00223FCF" w:rsidR="00826DC1" w:rsidP="00223FCF" w:rsidRDefault="00826DC1" w14:paraId="17831B7F" w14:textId="77777777">
      <w:pPr>
        <w:pStyle w:val="Default"/>
        <w:ind w:left="720"/>
        <w:rPr>
          <w:color w:val="auto"/>
          <w:sz w:val="23"/>
          <w:szCs w:val="23"/>
        </w:rPr>
      </w:pPr>
    </w:p>
    <w:p w:rsidRPr="00B641DA" w:rsidR="00826DC1" w:rsidP="00826DC1" w:rsidRDefault="00826DC1" w14:paraId="64F94537" w14:textId="52949A1C">
      <w:pPr>
        <w:pStyle w:val="Default"/>
        <w:numPr>
          <w:ilvl w:val="0"/>
          <w:numId w:val="1"/>
        </w:numPr>
        <w:rPr>
          <w:color w:val="auto"/>
        </w:rPr>
      </w:pPr>
      <w:r w:rsidRPr="00B641DA">
        <w:rPr>
          <w:color w:val="auto"/>
        </w:rPr>
        <w:t xml:space="preserve">In relation to self-catering accommodation, </w:t>
      </w:r>
      <w:r w:rsidR="0070743A">
        <w:rPr>
          <w:color w:val="auto"/>
        </w:rPr>
        <w:t>similar</w:t>
      </w:r>
      <w:r>
        <w:rPr>
          <w:color w:val="auto"/>
        </w:rPr>
        <w:t xml:space="preserve"> guidance as for previous NDR linked grant schemes applies, which is that </w:t>
      </w:r>
      <w:r w:rsidRPr="00B641DA">
        <w:rPr>
          <w:color w:val="auto"/>
        </w:rPr>
        <w:t>properties will not be eligible for the grant unless the following criteria are met:</w:t>
      </w:r>
    </w:p>
    <w:p w:rsidRPr="00B641DA" w:rsidR="00826DC1" w:rsidP="00826DC1" w:rsidRDefault="00826DC1" w14:paraId="49E13136" w14:textId="77777777">
      <w:pPr>
        <w:spacing w:after="0" w:line="240" w:lineRule="auto"/>
        <w:mirrorIndents/>
        <w:rPr>
          <w:rFonts w:ascii="Arial" w:hAnsi="Arial" w:eastAsia="Times New Roman" w:cs="Arial"/>
          <w:sz w:val="24"/>
          <w:szCs w:val="24"/>
        </w:rPr>
      </w:pPr>
    </w:p>
    <w:p w:rsidRPr="00B641DA" w:rsidR="00826DC1" w:rsidP="00826DC1" w:rsidRDefault="00826DC1" w14:paraId="5F29C37A" w14:textId="77777777">
      <w:pPr>
        <w:pStyle w:val="Default"/>
        <w:numPr>
          <w:ilvl w:val="0"/>
          <w:numId w:val="7"/>
        </w:numPr>
        <w:rPr>
          <w:color w:val="auto"/>
          <w:sz w:val="23"/>
          <w:szCs w:val="23"/>
        </w:rPr>
      </w:pPr>
      <w:r w:rsidRPr="00B641DA">
        <w:rPr>
          <w:color w:val="auto"/>
          <w:sz w:val="23"/>
          <w:szCs w:val="23"/>
        </w:rPr>
        <w:t>The self-catering accommodation can produce two years of trading accounts directly preceding the current financial year of the business</w:t>
      </w:r>
    </w:p>
    <w:p w:rsidRPr="00B641DA" w:rsidR="00B34DAF" w:rsidP="00B34DAF" w:rsidRDefault="00B34DAF" w14:paraId="7517C73B" w14:textId="77777777">
      <w:pPr>
        <w:pStyle w:val="Default"/>
        <w:numPr>
          <w:ilvl w:val="0"/>
          <w:numId w:val="7"/>
        </w:numPr>
        <w:rPr>
          <w:color w:val="auto"/>
          <w:sz w:val="23"/>
          <w:szCs w:val="23"/>
        </w:rPr>
      </w:pPr>
      <w:r w:rsidRPr="00B641DA">
        <w:rPr>
          <w:color w:val="auto"/>
          <w:sz w:val="23"/>
          <w:szCs w:val="23"/>
        </w:rPr>
        <w:t>The self-catering accommodation business must be the primary source of income for the owner (minimum threshold is 50%).</w:t>
      </w:r>
    </w:p>
    <w:p w:rsidRPr="000D0BB7" w:rsidR="000D0BB7" w:rsidP="000D0BB7" w:rsidRDefault="00826DC1" w14:paraId="731B481E" w14:textId="5519820B">
      <w:pPr>
        <w:pStyle w:val="Default"/>
        <w:numPr>
          <w:ilvl w:val="0"/>
          <w:numId w:val="7"/>
        </w:numPr>
        <w:rPr>
          <w:color w:val="auto"/>
          <w:sz w:val="23"/>
          <w:szCs w:val="23"/>
        </w:rPr>
      </w:pPr>
      <w:r w:rsidRPr="00B641DA">
        <w:rPr>
          <w:color w:val="auto"/>
          <w:sz w:val="23"/>
          <w:szCs w:val="23"/>
        </w:rPr>
        <w:t xml:space="preserve">The self-catering accommodation must actually have been let for a period of 140 days or more </w:t>
      </w:r>
      <w:r w:rsidR="00D05853">
        <w:rPr>
          <w:color w:val="auto"/>
          <w:sz w:val="23"/>
          <w:szCs w:val="23"/>
        </w:rPr>
        <w:t>over</w:t>
      </w:r>
      <w:r w:rsidRPr="00F15F39" w:rsidR="00F15F39">
        <w:rPr>
          <w:color w:val="auto"/>
          <w:sz w:val="23"/>
          <w:szCs w:val="23"/>
        </w:rPr>
        <w:t xml:space="preserve"> a continuous 12 month period during the two years preceding the grant application</w:t>
      </w:r>
    </w:p>
    <w:p w:rsidRPr="00B641DA" w:rsidR="00826DC1" w:rsidP="00826DC1" w:rsidRDefault="00826DC1" w14:paraId="22315979" w14:textId="77777777">
      <w:pPr>
        <w:spacing w:after="0" w:line="240" w:lineRule="auto"/>
        <w:mirrorIndents/>
        <w:rPr>
          <w:rFonts w:ascii="Arial" w:hAnsi="Arial" w:eastAsia="Times New Roman" w:cs="Arial"/>
          <w:sz w:val="24"/>
          <w:szCs w:val="24"/>
        </w:rPr>
      </w:pPr>
    </w:p>
    <w:p w:rsidR="00826DC1" w:rsidP="00826DC1" w:rsidRDefault="00826DC1" w14:paraId="5A423CF0" w14:textId="7296FBF7">
      <w:pPr>
        <w:pStyle w:val="Default"/>
        <w:numPr>
          <w:ilvl w:val="0"/>
          <w:numId w:val="1"/>
        </w:numPr>
        <w:rPr>
          <w:color w:val="auto"/>
        </w:rPr>
      </w:pPr>
      <w:r>
        <w:rPr>
          <w:color w:val="auto"/>
        </w:rPr>
        <w:t>For self-catering properties, l</w:t>
      </w:r>
      <w:r w:rsidRPr="00B641DA">
        <w:rPr>
          <w:color w:val="auto"/>
        </w:rPr>
        <w:t>ocal authorities have full discretion to request and examine trading business accounts, booking lists and self-assessment tax returns submitted to HMRC if additional evidence is required to demonstrate that this criteria is met. In cases where local authorities have decided to request additional evidence and the evidence shows that the scheme criteria are not met, local authorities are required to withhold payment of grant.</w:t>
      </w:r>
    </w:p>
    <w:p w:rsidR="00826DC1" w:rsidP="00826DC1" w:rsidRDefault="00826DC1" w14:paraId="3A28B60E" w14:textId="77777777">
      <w:pPr>
        <w:pStyle w:val="Default"/>
        <w:ind w:left="720"/>
        <w:rPr>
          <w:color w:val="auto"/>
        </w:rPr>
      </w:pPr>
    </w:p>
    <w:p w:rsidRPr="00223FCF" w:rsidR="00826DC1" w:rsidP="00223FCF" w:rsidRDefault="00826DC1" w14:paraId="2CF6F290" w14:textId="24909576">
      <w:pPr>
        <w:pStyle w:val="Default"/>
        <w:numPr>
          <w:ilvl w:val="0"/>
          <w:numId w:val="1"/>
        </w:numPr>
        <w:rPr>
          <w:color w:val="auto"/>
        </w:rPr>
      </w:pPr>
      <w:r>
        <w:rPr>
          <w:color w:val="auto"/>
        </w:rPr>
        <w:t>It is presumed that where necessary, local authorities will already have conduc</w:t>
      </w:r>
      <w:r w:rsidR="00A83C38">
        <w:rPr>
          <w:color w:val="auto"/>
        </w:rPr>
        <w:t>t</w:t>
      </w:r>
      <w:r>
        <w:rPr>
          <w:color w:val="auto"/>
        </w:rPr>
        <w:t xml:space="preserve">ed any checks on self-catering properties paid grant as part of </w:t>
      </w:r>
      <w:r w:rsidR="009627E6">
        <w:rPr>
          <w:color w:val="auto"/>
        </w:rPr>
        <w:t>earlier NDR linked grant schemes (notably the Firebreak scheme and the schemes available in Wales since December 2020)</w:t>
      </w:r>
      <w:r>
        <w:rPr>
          <w:color w:val="auto"/>
        </w:rPr>
        <w:t xml:space="preserve">. </w:t>
      </w:r>
      <w:r w:rsidRPr="00E643F2">
        <w:rPr>
          <w:b/>
          <w:color w:val="auto"/>
        </w:rPr>
        <w:t xml:space="preserve">Repeat checks on the same </w:t>
      </w:r>
      <w:r>
        <w:rPr>
          <w:b/>
          <w:color w:val="auto"/>
        </w:rPr>
        <w:t xml:space="preserve">self-catering </w:t>
      </w:r>
      <w:r w:rsidRPr="00E643F2">
        <w:rPr>
          <w:b/>
          <w:color w:val="auto"/>
        </w:rPr>
        <w:t xml:space="preserve">businesses </w:t>
      </w:r>
      <w:r>
        <w:rPr>
          <w:b/>
          <w:color w:val="auto"/>
        </w:rPr>
        <w:t xml:space="preserve">already awarded grant </w:t>
      </w:r>
      <w:r w:rsidRPr="008B7016">
        <w:rPr>
          <w:b/>
          <w:color w:val="auto"/>
          <w:u w:val="single"/>
        </w:rPr>
        <w:t>will not therefore be expected</w:t>
      </w:r>
      <w:r w:rsidRPr="00E643F2">
        <w:rPr>
          <w:b/>
          <w:color w:val="auto"/>
        </w:rPr>
        <w:t xml:space="preserve"> as part of this new scheme.</w:t>
      </w:r>
    </w:p>
    <w:p w:rsidR="00826DC1" w:rsidP="00223FCF" w:rsidRDefault="00826DC1" w14:paraId="53365953" w14:textId="77777777">
      <w:pPr>
        <w:pStyle w:val="Default"/>
        <w:ind w:left="720"/>
        <w:rPr>
          <w:color w:val="auto"/>
        </w:rPr>
      </w:pPr>
    </w:p>
    <w:p w:rsidRPr="00223FCF" w:rsidR="00826DC1" w:rsidP="00223FCF" w:rsidRDefault="00826DC1" w14:paraId="1399CD28" w14:textId="7D5087D7">
      <w:pPr>
        <w:pStyle w:val="Default"/>
        <w:numPr>
          <w:ilvl w:val="0"/>
          <w:numId w:val="1"/>
        </w:numPr>
        <w:rPr>
          <w:color w:val="auto"/>
        </w:rPr>
      </w:pPr>
      <w:r w:rsidRPr="00826DC1">
        <w:rPr>
          <w:color w:val="auto"/>
        </w:rPr>
        <w:t xml:space="preserve">In relation to gambling and gaming, </w:t>
      </w:r>
      <w:r>
        <w:rPr>
          <w:color w:val="auto"/>
        </w:rPr>
        <w:t>a</w:t>
      </w:r>
      <w:r w:rsidRPr="00223FCF">
        <w:rPr>
          <w:color w:val="auto"/>
        </w:rPr>
        <w:t>rcades of the type that could be classified as amusements rather than gambling premises are considered leisure establishments and are eligible for the grants either via the SBRR route or, where the rateable value of the premises makes them eligible, for the larger £5,000 grant as leisure facilities.</w:t>
      </w:r>
    </w:p>
    <w:p w:rsidRPr="00223FCF" w:rsidR="00826DC1" w:rsidP="00223FCF" w:rsidRDefault="00826DC1" w14:paraId="0E604084" w14:textId="77777777">
      <w:pPr>
        <w:pStyle w:val="Default"/>
        <w:ind w:left="720"/>
        <w:rPr>
          <w:color w:val="auto"/>
        </w:rPr>
      </w:pPr>
    </w:p>
    <w:p w:rsidR="00826DC1" w:rsidP="00223FCF" w:rsidRDefault="00826DC1" w14:paraId="0C3C90CF" w14:textId="652D21AF">
      <w:pPr>
        <w:pStyle w:val="Default"/>
        <w:numPr>
          <w:ilvl w:val="0"/>
          <w:numId w:val="1"/>
        </w:numPr>
        <w:rPr>
          <w:color w:val="auto"/>
        </w:rPr>
      </w:pPr>
      <w:r w:rsidRPr="00223FCF">
        <w:rPr>
          <w:color w:val="auto"/>
        </w:rPr>
        <w:t>Gaming establishments (as generally found in a city centre environment but potentially also located anywhere) that usually have limited access to people aged 18 and over and are a) not entitled to SBRR and b) where gambling rather than amusement is the predominant activity are not eligible for the retail, leisure and hospitality grant. The NDR scheme guidance for Retail, Leisure and Hospitality Rates Relief in Wales – 2020-21 explicitly excludes gambling hereditaments.</w:t>
      </w:r>
    </w:p>
    <w:p w:rsidR="00E959A3" w:rsidP="00E959A3" w:rsidRDefault="00E959A3" w14:paraId="0F722373" w14:textId="77777777">
      <w:pPr>
        <w:pStyle w:val="Default"/>
        <w:rPr>
          <w:color w:val="auto"/>
        </w:rPr>
      </w:pPr>
    </w:p>
    <w:sectPr w:rsidR="00E959A3" w:rsidSect="008F63B9">
      <w:footerReference w:type="default" r:id="rId9"/>
      <w:pgSz w:w="11906" w:h="17338"/>
      <w:pgMar w:top="1557" w:right="840" w:bottom="490"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0085" w14:textId="77777777" w:rsidR="00B3195B" w:rsidRDefault="00B3195B" w:rsidP="00C52F21">
      <w:pPr>
        <w:spacing w:after="0" w:line="240" w:lineRule="auto"/>
      </w:pPr>
      <w:r>
        <w:separator/>
      </w:r>
    </w:p>
  </w:endnote>
  <w:endnote w:type="continuationSeparator" w:id="0">
    <w:p w14:paraId="2A328BFA" w14:textId="77777777" w:rsidR="00B3195B" w:rsidRDefault="00B3195B" w:rsidP="00C5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3511"/>
      <w:docPartObj>
        <w:docPartGallery w:val="Page Numbers (Bottom of Page)"/>
        <w:docPartUnique/>
      </w:docPartObj>
    </w:sdtPr>
    <w:sdtEndPr>
      <w:rPr>
        <w:noProof/>
      </w:rPr>
    </w:sdtEndPr>
    <w:sdtContent>
      <w:p w14:paraId="325E73B1" w14:textId="128D79FA" w:rsidR="00DD7753" w:rsidRDefault="00DD7753">
        <w:pPr>
          <w:pStyle w:val="Footer"/>
          <w:jc w:val="right"/>
        </w:pPr>
        <w:r w:rsidRPr="00DD7753">
          <w:rPr>
            <w:rFonts w:ascii="Arial" w:hAnsi="Arial" w:cs="Arial"/>
          </w:rPr>
          <w:fldChar w:fldCharType="begin"/>
        </w:r>
        <w:r w:rsidRPr="00DD7753">
          <w:rPr>
            <w:rFonts w:ascii="Arial" w:hAnsi="Arial" w:cs="Arial"/>
          </w:rPr>
          <w:instrText xml:space="preserve"> PAGE   \* MERGEFORMAT </w:instrText>
        </w:r>
        <w:r w:rsidRPr="00DD7753">
          <w:rPr>
            <w:rFonts w:ascii="Arial" w:hAnsi="Arial" w:cs="Arial"/>
          </w:rPr>
          <w:fldChar w:fldCharType="separate"/>
        </w:r>
        <w:r w:rsidR="00855C4B">
          <w:rPr>
            <w:rFonts w:ascii="Arial" w:hAnsi="Arial" w:cs="Arial"/>
            <w:noProof/>
          </w:rPr>
          <w:t>1</w:t>
        </w:r>
        <w:r w:rsidRPr="00DD7753">
          <w:rPr>
            <w:rFonts w:ascii="Arial" w:hAnsi="Arial" w:cs="Arial"/>
            <w:noProof/>
          </w:rPr>
          <w:fldChar w:fldCharType="end"/>
        </w:r>
      </w:p>
    </w:sdtContent>
  </w:sdt>
  <w:p w14:paraId="6C890F76" w14:textId="77777777" w:rsidR="00DD7753" w:rsidRDefault="00DD77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6543" w14:textId="77777777" w:rsidR="00B3195B" w:rsidRDefault="00B3195B" w:rsidP="00C52F21">
      <w:pPr>
        <w:spacing w:after="0" w:line="240" w:lineRule="auto"/>
      </w:pPr>
      <w:r>
        <w:separator/>
      </w:r>
    </w:p>
  </w:footnote>
  <w:footnote w:type="continuationSeparator" w:id="0">
    <w:p w14:paraId="5BDD6788" w14:textId="77777777" w:rsidR="00B3195B" w:rsidRDefault="00B3195B" w:rsidP="00C52F21">
      <w:pPr>
        <w:spacing w:after="0" w:line="240" w:lineRule="auto"/>
      </w:pPr>
      <w:r>
        <w:continuationSeparator/>
      </w:r>
    </w:p>
  </w:footnote>
  <w:footnote w:id="1">
    <w:p w14:paraId="2BB38E87" w14:textId="713D3A96" w:rsidR="00E226A9" w:rsidRPr="00E959A3" w:rsidRDefault="00E226A9">
      <w:pPr>
        <w:pStyle w:val="FootnoteText"/>
        <w:rPr>
          <w:rFonts w:ascii="Arial" w:hAnsi="Arial" w:cs="Arial"/>
        </w:rPr>
      </w:pPr>
      <w:r w:rsidRPr="00E959A3">
        <w:rPr>
          <w:rStyle w:val="FootnoteReference"/>
          <w:rFonts w:ascii="Arial" w:hAnsi="Arial" w:cs="Arial"/>
        </w:rPr>
        <w:footnoteRef/>
      </w:r>
      <w:r w:rsidRPr="00E959A3">
        <w:rPr>
          <w:rFonts w:ascii="Arial" w:hAnsi="Arial" w:cs="Arial"/>
        </w:rPr>
        <w:t xml:space="preserve"> See: </w:t>
      </w:r>
      <w:hyperlink r:id="rId1" w:history="1">
        <w:r w:rsidRPr="00E959A3">
          <w:rPr>
            <w:rStyle w:val="Hyperlink"/>
            <w:rFonts w:ascii="Arial" w:hAnsi="Arial" w:cs="Arial"/>
          </w:rPr>
          <w:t>https://gov.wales/sites/default/files/publications/2020-12/the-health-protection-coronavirus-restrictions-no-4-wales-regulations-2020-as-amended-with-the-changes-illustrated.pdf</w:t>
        </w:r>
      </w:hyperlink>
      <w:r w:rsidRPr="00E959A3">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CAF"/>
    <w:multiLevelType w:val="hybridMultilevel"/>
    <w:tmpl w:val="A70AB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66444"/>
    <w:multiLevelType w:val="hybridMultilevel"/>
    <w:tmpl w:val="B6D4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6864"/>
    <w:multiLevelType w:val="hybridMultilevel"/>
    <w:tmpl w:val="7F406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856231"/>
    <w:multiLevelType w:val="hybridMultilevel"/>
    <w:tmpl w:val="AB1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5547A"/>
    <w:multiLevelType w:val="hybridMultilevel"/>
    <w:tmpl w:val="17B247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854782"/>
    <w:multiLevelType w:val="hybridMultilevel"/>
    <w:tmpl w:val="E2764622"/>
    <w:lvl w:ilvl="0" w:tplc="F5A0A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A30EE"/>
    <w:multiLevelType w:val="hybridMultilevel"/>
    <w:tmpl w:val="D602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A61A9"/>
    <w:multiLevelType w:val="hybridMultilevel"/>
    <w:tmpl w:val="B5167C76"/>
    <w:lvl w:ilvl="0" w:tplc="0922ACA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70F46"/>
    <w:multiLevelType w:val="hybridMultilevel"/>
    <w:tmpl w:val="787A6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DE"/>
    <w:rsid w:val="00013A7E"/>
    <w:rsid w:val="00014159"/>
    <w:rsid w:val="00031C2B"/>
    <w:rsid w:val="0004582D"/>
    <w:rsid w:val="00067D6A"/>
    <w:rsid w:val="00096A9F"/>
    <w:rsid w:val="000C7275"/>
    <w:rsid w:val="000D0BB7"/>
    <w:rsid w:val="000D2F36"/>
    <w:rsid w:val="000E2A64"/>
    <w:rsid w:val="001109AF"/>
    <w:rsid w:val="0014141E"/>
    <w:rsid w:val="001A7A8B"/>
    <w:rsid w:val="001B31E1"/>
    <w:rsid w:val="001C2237"/>
    <w:rsid w:val="001C4D22"/>
    <w:rsid w:val="001F296E"/>
    <w:rsid w:val="002019CC"/>
    <w:rsid w:val="00223FCF"/>
    <w:rsid w:val="00224A62"/>
    <w:rsid w:val="0023328D"/>
    <w:rsid w:val="002340ED"/>
    <w:rsid w:val="00254512"/>
    <w:rsid w:val="0028175D"/>
    <w:rsid w:val="00291967"/>
    <w:rsid w:val="002D3156"/>
    <w:rsid w:val="002F4303"/>
    <w:rsid w:val="002F4D57"/>
    <w:rsid w:val="003069DC"/>
    <w:rsid w:val="00313971"/>
    <w:rsid w:val="003178A9"/>
    <w:rsid w:val="003344B4"/>
    <w:rsid w:val="0035210C"/>
    <w:rsid w:val="003954A2"/>
    <w:rsid w:val="003C5E1B"/>
    <w:rsid w:val="003F51DE"/>
    <w:rsid w:val="004016AE"/>
    <w:rsid w:val="00404DAC"/>
    <w:rsid w:val="00412701"/>
    <w:rsid w:val="00431A10"/>
    <w:rsid w:val="0043266A"/>
    <w:rsid w:val="00442CDC"/>
    <w:rsid w:val="00463425"/>
    <w:rsid w:val="004771D0"/>
    <w:rsid w:val="00495A87"/>
    <w:rsid w:val="00496C45"/>
    <w:rsid w:val="004B08E8"/>
    <w:rsid w:val="004E7048"/>
    <w:rsid w:val="00517B2B"/>
    <w:rsid w:val="00524036"/>
    <w:rsid w:val="0054201A"/>
    <w:rsid w:val="00574D95"/>
    <w:rsid w:val="00585D61"/>
    <w:rsid w:val="005A4612"/>
    <w:rsid w:val="005B729A"/>
    <w:rsid w:val="005C10ED"/>
    <w:rsid w:val="006035D6"/>
    <w:rsid w:val="00607F69"/>
    <w:rsid w:val="00624C75"/>
    <w:rsid w:val="006A2DF6"/>
    <w:rsid w:val="006A6A41"/>
    <w:rsid w:val="006D0AEF"/>
    <w:rsid w:val="0070743A"/>
    <w:rsid w:val="00720FB1"/>
    <w:rsid w:val="00733D7D"/>
    <w:rsid w:val="007376CB"/>
    <w:rsid w:val="00741EE1"/>
    <w:rsid w:val="007A1B52"/>
    <w:rsid w:val="007C041D"/>
    <w:rsid w:val="007D3287"/>
    <w:rsid w:val="007F231A"/>
    <w:rsid w:val="00800133"/>
    <w:rsid w:val="00826DC1"/>
    <w:rsid w:val="00855C4B"/>
    <w:rsid w:val="008B7016"/>
    <w:rsid w:val="008C7E14"/>
    <w:rsid w:val="008D0C3C"/>
    <w:rsid w:val="008D26CC"/>
    <w:rsid w:val="008D504A"/>
    <w:rsid w:val="008D6F71"/>
    <w:rsid w:val="009225ED"/>
    <w:rsid w:val="00924498"/>
    <w:rsid w:val="009460BA"/>
    <w:rsid w:val="00957DCD"/>
    <w:rsid w:val="009627E6"/>
    <w:rsid w:val="00981CFB"/>
    <w:rsid w:val="009C56C7"/>
    <w:rsid w:val="009C594C"/>
    <w:rsid w:val="009D4694"/>
    <w:rsid w:val="009D75D4"/>
    <w:rsid w:val="00A034AF"/>
    <w:rsid w:val="00A03696"/>
    <w:rsid w:val="00A17134"/>
    <w:rsid w:val="00A44A91"/>
    <w:rsid w:val="00A6757E"/>
    <w:rsid w:val="00A70059"/>
    <w:rsid w:val="00A83A28"/>
    <w:rsid w:val="00A83C38"/>
    <w:rsid w:val="00A875BC"/>
    <w:rsid w:val="00AA5021"/>
    <w:rsid w:val="00AC0756"/>
    <w:rsid w:val="00AC2EA1"/>
    <w:rsid w:val="00AD334C"/>
    <w:rsid w:val="00AE0DD7"/>
    <w:rsid w:val="00AE1F94"/>
    <w:rsid w:val="00AE452C"/>
    <w:rsid w:val="00AE691C"/>
    <w:rsid w:val="00B11FAD"/>
    <w:rsid w:val="00B23A2D"/>
    <w:rsid w:val="00B3195B"/>
    <w:rsid w:val="00B34DAF"/>
    <w:rsid w:val="00B4049C"/>
    <w:rsid w:val="00B55EC8"/>
    <w:rsid w:val="00B561A5"/>
    <w:rsid w:val="00B62575"/>
    <w:rsid w:val="00B641DA"/>
    <w:rsid w:val="00B84F29"/>
    <w:rsid w:val="00B85CCD"/>
    <w:rsid w:val="00BC1A3F"/>
    <w:rsid w:val="00C116B9"/>
    <w:rsid w:val="00C52F21"/>
    <w:rsid w:val="00C60628"/>
    <w:rsid w:val="00C66A03"/>
    <w:rsid w:val="00C81C51"/>
    <w:rsid w:val="00CA3F1A"/>
    <w:rsid w:val="00D05853"/>
    <w:rsid w:val="00D06BB7"/>
    <w:rsid w:val="00D10BA6"/>
    <w:rsid w:val="00D112E9"/>
    <w:rsid w:val="00D12EF6"/>
    <w:rsid w:val="00D567B6"/>
    <w:rsid w:val="00D573E3"/>
    <w:rsid w:val="00D714C1"/>
    <w:rsid w:val="00D7631A"/>
    <w:rsid w:val="00D86564"/>
    <w:rsid w:val="00D94578"/>
    <w:rsid w:val="00DB08BD"/>
    <w:rsid w:val="00DB2B22"/>
    <w:rsid w:val="00DD1F75"/>
    <w:rsid w:val="00DD7753"/>
    <w:rsid w:val="00E03B94"/>
    <w:rsid w:val="00E1346D"/>
    <w:rsid w:val="00E163EC"/>
    <w:rsid w:val="00E226A9"/>
    <w:rsid w:val="00E27754"/>
    <w:rsid w:val="00E56B1D"/>
    <w:rsid w:val="00E56FF6"/>
    <w:rsid w:val="00E607CF"/>
    <w:rsid w:val="00E643F2"/>
    <w:rsid w:val="00E71ED8"/>
    <w:rsid w:val="00E74B95"/>
    <w:rsid w:val="00E85E6F"/>
    <w:rsid w:val="00E91409"/>
    <w:rsid w:val="00E959A3"/>
    <w:rsid w:val="00EC50A7"/>
    <w:rsid w:val="00EC6A2C"/>
    <w:rsid w:val="00EE3BD1"/>
    <w:rsid w:val="00F02254"/>
    <w:rsid w:val="00F03EDE"/>
    <w:rsid w:val="00F15F39"/>
    <w:rsid w:val="00F40ADE"/>
    <w:rsid w:val="00F84CAA"/>
    <w:rsid w:val="00FA24EC"/>
    <w:rsid w:val="00FA68D5"/>
    <w:rsid w:val="00FA7709"/>
    <w:rsid w:val="00FB028B"/>
    <w:rsid w:val="00FE07B6"/>
    <w:rsid w:val="00FF02BF"/>
    <w:rsid w:val="00FF5C5F"/>
    <w:rsid w:val="00FF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BA44"/>
  <w15:chartTrackingRefBased/>
  <w15:docId w15:val="{3FF6DFE7-B86D-48AB-90D5-702132FE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A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F40ADE"/>
    <w:pPr>
      <w:ind w:left="720"/>
      <w:contextualSpacing/>
    </w:pPr>
  </w:style>
  <w:style w:type="character" w:customStyle="1" w:styleId="ListParagraphChar">
    <w:name w:val="List Paragraph Char"/>
    <w:basedOn w:val="DefaultParagraphFont"/>
    <w:link w:val="ListParagraph"/>
    <w:uiPriority w:val="34"/>
    <w:locked/>
    <w:rsid w:val="00C52F21"/>
  </w:style>
  <w:style w:type="paragraph" w:styleId="FootnoteText">
    <w:name w:val="footnote text"/>
    <w:basedOn w:val="Normal"/>
    <w:link w:val="FootnoteTextChar"/>
    <w:uiPriority w:val="99"/>
    <w:semiHidden/>
    <w:unhideWhenUsed/>
    <w:rsid w:val="00C52F2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C52F21"/>
    <w:rPr>
      <w:rFonts w:ascii="Calibri" w:hAnsi="Calibri" w:cs="Calibri"/>
      <w:sz w:val="20"/>
      <w:szCs w:val="20"/>
    </w:rPr>
  </w:style>
  <w:style w:type="character" w:styleId="FootnoteReference">
    <w:name w:val="footnote reference"/>
    <w:basedOn w:val="DefaultParagraphFont"/>
    <w:uiPriority w:val="99"/>
    <w:semiHidden/>
    <w:unhideWhenUsed/>
    <w:rsid w:val="00C52F21"/>
    <w:rPr>
      <w:vertAlign w:val="superscript"/>
    </w:rPr>
  </w:style>
  <w:style w:type="paragraph" w:styleId="Header">
    <w:name w:val="header"/>
    <w:basedOn w:val="Normal"/>
    <w:link w:val="HeaderChar"/>
    <w:uiPriority w:val="99"/>
    <w:unhideWhenUsed/>
    <w:rsid w:val="00517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2B"/>
  </w:style>
  <w:style w:type="paragraph" w:styleId="Footer">
    <w:name w:val="footer"/>
    <w:basedOn w:val="Normal"/>
    <w:link w:val="FooterChar"/>
    <w:uiPriority w:val="99"/>
    <w:unhideWhenUsed/>
    <w:rsid w:val="00517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2B"/>
  </w:style>
  <w:style w:type="character" w:styleId="Hyperlink">
    <w:name w:val="Hyperlink"/>
    <w:unhideWhenUsed/>
    <w:rsid w:val="00B641DA"/>
    <w:rPr>
      <w:color w:val="0000FF"/>
      <w:u w:val="single"/>
    </w:rPr>
  </w:style>
  <w:style w:type="character" w:styleId="CommentReference">
    <w:name w:val="annotation reference"/>
    <w:basedOn w:val="DefaultParagraphFont"/>
    <w:uiPriority w:val="99"/>
    <w:semiHidden/>
    <w:unhideWhenUsed/>
    <w:rsid w:val="004E7048"/>
    <w:rPr>
      <w:sz w:val="16"/>
      <w:szCs w:val="16"/>
    </w:rPr>
  </w:style>
  <w:style w:type="paragraph" w:styleId="CommentText">
    <w:name w:val="annotation text"/>
    <w:basedOn w:val="Normal"/>
    <w:link w:val="CommentTextChar"/>
    <w:uiPriority w:val="99"/>
    <w:semiHidden/>
    <w:unhideWhenUsed/>
    <w:rsid w:val="004E7048"/>
    <w:pPr>
      <w:spacing w:line="240" w:lineRule="auto"/>
    </w:pPr>
    <w:rPr>
      <w:sz w:val="20"/>
      <w:szCs w:val="20"/>
    </w:rPr>
  </w:style>
  <w:style w:type="character" w:customStyle="1" w:styleId="CommentTextChar">
    <w:name w:val="Comment Text Char"/>
    <w:basedOn w:val="DefaultParagraphFont"/>
    <w:link w:val="CommentText"/>
    <w:uiPriority w:val="99"/>
    <w:semiHidden/>
    <w:rsid w:val="004E7048"/>
    <w:rPr>
      <w:sz w:val="20"/>
      <w:szCs w:val="20"/>
    </w:rPr>
  </w:style>
  <w:style w:type="paragraph" w:styleId="CommentSubject">
    <w:name w:val="annotation subject"/>
    <w:basedOn w:val="CommentText"/>
    <w:next w:val="CommentText"/>
    <w:link w:val="CommentSubjectChar"/>
    <w:uiPriority w:val="99"/>
    <w:semiHidden/>
    <w:unhideWhenUsed/>
    <w:rsid w:val="004E7048"/>
    <w:rPr>
      <w:b/>
      <w:bCs/>
    </w:rPr>
  </w:style>
  <w:style w:type="character" w:customStyle="1" w:styleId="CommentSubjectChar">
    <w:name w:val="Comment Subject Char"/>
    <w:basedOn w:val="CommentTextChar"/>
    <w:link w:val="CommentSubject"/>
    <w:uiPriority w:val="99"/>
    <w:semiHidden/>
    <w:rsid w:val="004E7048"/>
    <w:rPr>
      <w:b/>
      <w:bCs/>
      <w:sz w:val="20"/>
      <w:szCs w:val="20"/>
    </w:rPr>
  </w:style>
  <w:style w:type="paragraph" w:styleId="BalloonText">
    <w:name w:val="Balloon Text"/>
    <w:basedOn w:val="Normal"/>
    <w:link w:val="BalloonTextChar"/>
    <w:uiPriority w:val="99"/>
    <w:semiHidden/>
    <w:unhideWhenUsed/>
    <w:rsid w:val="004E7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48"/>
    <w:rPr>
      <w:rFonts w:ascii="Segoe UI" w:hAnsi="Segoe UI" w:cs="Segoe UI"/>
      <w:sz w:val="18"/>
      <w:szCs w:val="18"/>
    </w:rPr>
  </w:style>
  <w:style w:type="character" w:styleId="Strong">
    <w:name w:val="Strong"/>
    <w:basedOn w:val="DefaultParagraphFont"/>
    <w:uiPriority w:val="22"/>
    <w:qFormat/>
    <w:rsid w:val="00AD3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ov.wales/sites/default/files/publications/2020-12/the-health-protection-coronavirus-restrictions-no-4-wales-regulations-2020-as-amended-with-the-changes-illustr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A33748264</value>
    </field>
    <field name="Objective-Title">
      <value order="0">March 2021 NDR Schemes Guidance DRAFT (9th March)</value>
    </field>
    <field name="Objective-Description">
      <value order="0"/>
    </field>
    <field name="Objective-CreationStamp">
      <value order="0">2021-03-09T10:41:43Z</value>
    </field>
    <field name="Objective-IsApproved">
      <value order="0">false</value>
    </field>
    <field name="Objective-IsPublished">
      <value order="0">false</value>
    </field>
    <field name="Objective-DatePublished">
      <value order="0"/>
    </field>
    <field name="Objective-ModificationStamp">
      <value order="0">2021-03-09T14:13:06Z</value>
    </field>
    <field name="Objective-Owner">
      <value order="0">Bryer, Huw (ESNR-Sectors &amp; Business-Entrepreneurship &amp; Delivery)</value>
    </field>
    <field name="Objective-Path">
      <value order="0">Objective Global Folder:Classified Object:Bryer, Huw (ESNR-Sectors &amp; Business-Entrepreneurship &amp; Delivery):Special Folder - Bryer, Huw (ESNR-Sectors &amp; Business-Entrepreneurship &amp; Delivery):April onwards NDR</value>
    </field>
    <field name="Objective-Parent">
      <value order="0">April onwards NDR</value>
    </field>
    <field name="Objective-State">
      <value order="0">Being Edited</value>
    </field>
    <field name="Objective-VersionId">
      <value order="0">vA66785280</value>
    </field>
    <field name="Objective-Version">
      <value order="0">2.1</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DA0D0F6-6F21-4F93-A9EA-95C3DE07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NDR Schemes Guidance DRAFT (9th March) - shortened form (00000002)</dc:title>
  <dc:subject>
  </dc:subject>
  <dc:creator>Bryer, Huw (ESNR – Business &amp; Regions – Entreprene</dc:creator>
  <cp:keywords>
  </cp:keywords>
  <dc:description>
  </dc:description>
  <cp:lastModifiedBy>Hayley McDonald</cp:lastModifiedBy>
  <cp:revision>2</cp:revision>
  <dcterms:created xsi:type="dcterms:W3CDTF">2021-03-15T14:24:00Z</dcterms:created>
  <dcterms:modified xsi:type="dcterms:W3CDTF">2021-03-15T14:25:40Z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A33748264</vt:lpwstr>
  </property>
  <property fmtid="{D5CDD505-2E9C-101B-9397-08002B2CF9AE}" pid="4" name="Objective-Title">
    <vt:lpwstr>March 2021 NDR Schemes Guidance DRAFT (9th March)</vt:lpwstr>
  </property>
  <property fmtid="{D5CDD505-2E9C-101B-9397-08002B2CF9AE}" pid="5" name="Objective-Description">
    <vt:lpwstr/>
  </property>
  <property fmtid="{D5CDD505-2E9C-101B-9397-08002B2CF9AE}" pid="6" name="Objective-CreationStamp">
    <vt:filetime>2021-03-09T10:41:49Z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2021-03-09T14:39:35Z</vt:filetime>
  </property>
  <property fmtid="{D5CDD505-2E9C-101B-9397-08002B2CF9AE}" pid="10" name="Objective-ModificationStamp">
    <vt:filetime>2021-03-09T14:39:35Z</vt:filetime>
  </property>
  <property fmtid="{D5CDD505-2E9C-101B-9397-08002B2CF9AE}" pid="11" name="Objective-Owner">
    <vt:lpwstr>Bryer, Huw (ESNR-Sectors &amp; Business-Entrepreneurship &amp; Delivery)</vt:lpwstr>
  </property>
  <property fmtid="{D5CDD505-2E9C-101B-9397-08002B2CF9AE}" pid="12" name="Objective-Path">
    <vt:lpwstr>Bryer, Huw (ESNR-Sectors &amp; Business-Entrepreneurship &amp; Delivery):Special Folder - Bryer, Huw (ESNR-Sectors &amp; Business-Entrepreneurship &amp; Delivery):April onwards NDR:</vt:lpwstr>
  </property>
  <property fmtid="{D5CDD505-2E9C-101B-9397-08002B2CF9AE}" pid="13" name="Objective-Parent">
    <vt:lpwstr>April onwards NDR</vt:lpwstr>
  </property>
  <property fmtid="{D5CDD505-2E9C-101B-9397-08002B2CF9AE}" pid="14" name="Objective-State">
    <vt:lpwstr>Published</vt:lpwstr>
  </property>
  <property fmtid="{D5CDD505-2E9C-101B-9397-08002B2CF9AE}" pid="15" name="Objective-VersionId">
    <vt:lpwstr>vA66785280</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